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783DF" w14:textId="22F4FE7E" w:rsidR="00B30046" w:rsidRPr="00E07448" w:rsidRDefault="00B30046" w:rsidP="00B30046">
      <w:pPr>
        <w:pStyle w:val="Nagwek1"/>
      </w:pPr>
      <w:r>
        <w:t>Opis przedmiotu zamówienia</w:t>
      </w:r>
    </w:p>
    <w:p w14:paraId="6F2ABCE7" w14:textId="27326A67" w:rsidR="00B30046" w:rsidRDefault="00B30046" w:rsidP="00B30046">
      <w:r w:rsidRPr="00B30046">
        <w:t xml:space="preserve">Świadczenie usługi kolokacji infrastruktury teleinformatycznej Zamawiającego w Data Center </w:t>
      </w:r>
    </w:p>
    <w:p w14:paraId="57DC696A" w14:textId="77777777" w:rsidR="00240238" w:rsidRPr="00E07448" w:rsidRDefault="00240238" w:rsidP="00B3004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0"/>
        <w:gridCol w:w="1000"/>
        <w:gridCol w:w="1000"/>
      </w:tblGrid>
      <w:tr w:rsidR="00384056" w:rsidRPr="00240238" w14:paraId="02EC5497" w14:textId="7C35C71B" w:rsidTr="00384056">
        <w:tc>
          <w:tcPr>
            <w:tcW w:w="6680" w:type="dxa"/>
            <w:shd w:val="clear" w:color="auto" w:fill="DAE9F7" w:themeFill="text2" w:themeFillTint="1A"/>
          </w:tcPr>
          <w:p w14:paraId="279B111D" w14:textId="77777777" w:rsidR="00384056" w:rsidRPr="00240238" w:rsidRDefault="00384056" w:rsidP="00EC59CD">
            <w:pPr>
              <w:pStyle w:val="Nagwek1"/>
              <w:rPr>
                <w:sz w:val="14"/>
                <w:szCs w:val="14"/>
              </w:rPr>
            </w:pPr>
            <w:bookmarkStart w:id="0" w:name="bm_3_2_lokalizacja_usługi"/>
            <w:r w:rsidRPr="00240238">
              <w:rPr>
                <w:sz w:val="14"/>
                <w:szCs w:val="14"/>
              </w:rPr>
              <w:t>Lokalizacja usługi</w:t>
            </w:r>
            <w:bookmarkEnd w:id="0"/>
          </w:p>
        </w:tc>
        <w:tc>
          <w:tcPr>
            <w:tcW w:w="1000" w:type="dxa"/>
            <w:shd w:val="clear" w:color="auto" w:fill="DAE9F7" w:themeFill="text2" w:themeFillTint="1A"/>
          </w:tcPr>
          <w:p w14:paraId="1CFDE166" w14:textId="20F8A417" w:rsidR="00384056" w:rsidRPr="00240238" w:rsidRDefault="00C37F84" w:rsidP="00EC59CD">
            <w:pPr>
              <w:pStyle w:val="Nagwek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Parametr Wymagany (TAK)</w:t>
            </w:r>
          </w:p>
        </w:tc>
        <w:tc>
          <w:tcPr>
            <w:tcW w:w="1000" w:type="dxa"/>
            <w:shd w:val="clear" w:color="auto" w:fill="DAE9F7" w:themeFill="text2" w:themeFillTint="1A"/>
          </w:tcPr>
          <w:p w14:paraId="36245F67" w14:textId="63F9F553" w:rsidR="00384056" w:rsidRPr="00240238" w:rsidRDefault="00C37F84" w:rsidP="00EC59CD">
            <w:pPr>
              <w:pStyle w:val="Nagwek1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Odpowiedź  oferenta</w:t>
            </w:r>
          </w:p>
        </w:tc>
      </w:tr>
      <w:tr w:rsidR="00384056" w:rsidRPr="00240238" w14:paraId="24D9BEFF" w14:textId="03FFC743" w:rsidTr="00384056">
        <w:tc>
          <w:tcPr>
            <w:tcW w:w="6680" w:type="dxa"/>
          </w:tcPr>
          <w:p w14:paraId="3F75CA2C" w14:textId="23C7B70A" w:rsidR="00384056" w:rsidRPr="00240238" w:rsidRDefault="00384056" w:rsidP="00EC59CD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 xml:space="preserve">Usługa kolokacji ma być realizowana w obiekcie typu Data Center zlokalizowanym </w:t>
            </w:r>
            <w:r w:rsidRPr="00070F8F">
              <w:rPr>
                <w:b/>
                <w:bCs/>
                <w:sz w:val="14"/>
                <w:szCs w:val="14"/>
              </w:rPr>
              <w:t>na terenie województwa śląskiego (Polska).</w:t>
            </w:r>
          </w:p>
        </w:tc>
        <w:tc>
          <w:tcPr>
            <w:tcW w:w="1000" w:type="dxa"/>
          </w:tcPr>
          <w:p w14:paraId="56AF6D1E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068C16AE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</w:tr>
      <w:tr w:rsidR="00384056" w:rsidRPr="00240238" w14:paraId="02A71F3D" w14:textId="5035A531" w:rsidTr="00384056">
        <w:tc>
          <w:tcPr>
            <w:tcW w:w="6680" w:type="dxa"/>
          </w:tcPr>
          <w:p w14:paraId="50811247" w14:textId="77777777" w:rsidR="00384056" w:rsidRPr="00240238" w:rsidRDefault="00384056" w:rsidP="00EC59CD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Wykonawca wskaże w ofercie:</w:t>
            </w:r>
          </w:p>
        </w:tc>
        <w:tc>
          <w:tcPr>
            <w:tcW w:w="1000" w:type="dxa"/>
          </w:tcPr>
          <w:p w14:paraId="63E62BB8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50F3B98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</w:tr>
      <w:tr w:rsidR="00384056" w:rsidRPr="00240238" w14:paraId="481E70A1" w14:textId="39F95C53" w:rsidTr="00384056">
        <w:tc>
          <w:tcPr>
            <w:tcW w:w="6680" w:type="dxa"/>
          </w:tcPr>
          <w:p w14:paraId="60661AC9" w14:textId="77777777" w:rsidR="00384056" w:rsidRPr="00240238" w:rsidRDefault="00384056" w:rsidP="00EC59CD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dokładny adres obiektu (miejscowość, ulica, nr budynku),</w:t>
            </w:r>
          </w:p>
        </w:tc>
        <w:tc>
          <w:tcPr>
            <w:tcW w:w="1000" w:type="dxa"/>
          </w:tcPr>
          <w:p w14:paraId="700807FD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E57B877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</w:tr>
      <w:tr w:rsidR="00384056" w:rsidRPr="00240238" w14:paraId="1F5F317D" w14:textId="19429068" w:rsidTr="00384056">
        <w:tc>
          <w:tcPr>
            <w:tcW w:w="6680" w:type="dxa"/>
          </w:tcPr>
          <w:p w14:paraId="52D3B8A3" w14:textId="77777777" w:rsidR="00384056" w:rsidRPr="00240238" w:rsidRDefault="00384056" w:rsidP="00EC59CD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tytuł prawny do obiektu (własność, najem, operator),</w:t>
            </w:r>
          </w:p>
        </w:tc>
        <w:tc>
          <w:tcPr>
            <w:tcW w:w="1000" w:type="dxa"/>
          </w:tcPr>
          <w:p w14:paraId="7590AA7E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9AA980F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</w:tr>
      <w:tr w:rsidR="00384056" w:rsidRPr="00240238" w14:paraId="1A8D05F9" w14:textId="22DEC6A6" w:rsidTr="00384056">
        <w:tc>
          <w:tcPr>
            <w:tcW w:w="6680" w:type="dxa"/>
          </w:tcPr>
          <w:p w14:paraId="21FA4DF2" w14:textId="77777777" w:rsidR="00384056" w:rsidRPr="00240238" w:rsidRDefault="00384056" w:rsidP="00EC59CD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podstawowe parametry obiektu (standard Data Center, dostęp 24/7/365, redundancja zasilania/chłodzenia).</w:t>
            </w:r>
          </w:p>
        </w:tc>
        <w:tc>
          <w:tcPr>
            <w:tcW w:w="1000" w:type="dxa"/>
          </w:tcPr>
          <w:p w14:paraId="6B143E6C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577785AD" w14:textId="77777777" w:rsidR="00384056" w:rsidRPr="00240238" w:rsidRDefault="00384056" w:rsidP="00EC59CD">
            <w:pPr>
              <w:rPr>
                <w:sz w:val="14"/>
                <w:szCs w:val="14"/>
              </w:rPr>
            </w:pPr>
          </w:p>
        </w:tc>
      </w:tr>
      <w:tr w:rsidR="00384056" w:rsidRPr="00240238" w14:paraId="5BC1CCFB" w14:textId="6C3F4F0C" w:rsidTr="00384056">
        <w:tc>
          <w:tcPr>
            <w:tcW w:w="6680" w:type="dxa"/>
            <w:shd w:val="clear" w:color="auto" w:fill="DAE9F7" w:themeFill="text2" w:themeFillTint="1A"/>
          </w:tcPr>
          <w:p w14:paraId="7D5FB579" w14:textId="65FEE05A" w:rsidR="00384056" w:rsidRPr="00240238" w:rsidRDefault="00384056" w:rsidP="00003EAA">
            <w:pPr>
              <w:pStyle w:val="Nagwek1"/>
              <w:rPr>
                <w:sz w:val="14"/>
                <w:szCs w:val="14"/>
              </w:rPr>
            </w:pPr>
            <w:bookmarkStart w:id="1" w:name="bm_3_3_zakres_świadczenia_minimal_69a78d"/>
            <w:r w:rsidRPr="00240238">
              <w:rPr>
                <w:sz w:val="14"/>
                <w:szCs w:val="14"/>
              </w:rPr>
              <w:t>Zakres świadczenia</w:t>
            </w:r>
            <w:bookmarkEnd w:id="1"/>
          </w:p>
        </w:tc>
        <w:tc>
          <w:tcPr>
            <w:tcW w:w="1000" w:type="dxa"/>
            <w:shd w:val="clear" w:color="auto" w:fill="DAE9F7" w:themeFill="text2" w:themeFillTint="1A"/>
          </w:tcPr>
          <w:p w14:paraId="0D07F802" w14:textId="77777777" w:rsidR="00384056" w:rsidRPr="00240238" w:rsidRDefault="00384056" w:rsidP="00003EAA">
            <w:pPr>
              <w:pStyle w:val="Nagwek1"/>
              <w:rPr>
                <w:sz w:val="14"/>
                <w:szCs w:val="14"/>
              </w:rPr>
            </w:pPr>
          </w:p>
        </w:tc>
        <w:tc>
          <w:tcPr>
            <w:tcW w:w="1000" w:type="dxa"/>
            <w:shd w:val="clear" w:color="auto" w:fill="DAE9F7" w:themeFill="text2" w:themeFillTint="1A"/>
          </w:tcPr>
          <w:p w14:paraId="53C87A2A" w14:textId="77777777" w:rsidR="00384056" w:rsidRPr="00240238" w:rsidRDefault="00384056" w:rsidP="00003EAA">
            <w:pPr>
              <w:pStyle w:val="Nagwek1"/>
              <w:rPr>
                <w:sz w:val="14"/>
                <w:szCs w:val="14"/>
              </w:rPr>
            </w:pPr>
          </w:p>
        </w:tc>
      </w:tr>
      <w:tr w:rsidR="00384056" w:rsidRPr="00240238" w14:paraId="4CF49D4D" w14:textId="014014B5" w:rsidTr="00384056">
        <w:tc>
          <w:tcPr>
            <w:tcW w:w="6680" w:type="dxa"/>
          </w:tcPr>
          <w:p w14:paraId="34E193EC" w14:textId="77777777" w:rsidR="00384056" w:rsidRPr="00240238" w:rsidRDefault="00384056" w:rsidP="00003EAA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Przedmiotem zamówienia jest kompleksowa usługa kolokacji obejmująca co najmniej:</w:t>
            </w:r>
          </w:p>
        </w:tc>
        <w:tc>
          <w:tcPr>
            <w:tcW w:w="1000" w:type="dxa"/>
          </w:tcPr>
          <w:p w14:paraId="0481ECF4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26720E6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</w:tr>
      <w:tr w:rsidR="00384056" w:rsidRPr="00240238" w14:paraId="36F78D27" w14:textId="51256E0F" w:rsidTr="00384056">
        <w:tc>
          <w:tcPr>
            <w:tcW w:w="6680" w:type="dxa"/>
          </w:tcPr>
          <w:p w14:paraId="5F436145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  <w:bookmarkStart w:id="2" w:name="bm_3_3_1_szafa_rack_42u"/>
            <w:r w:rsidRPr="00240238">
              <w:rPr>
                <w:b/>
                <w:bCs/>
                <w:sz w:val="14"/>
                <w:szCs w:val="14"/>
              </w:rPr>
              <w:t>Szafę rack 42U</w:t>
            </w:r>
            <w:bookmarkEnd w:id="2"/>
          </w:p>
        </w:tc>
        <w:tc>
          <w:tcPr>
            <w:tcW w:w="1000" w:type="dxa"/>
          </w:tcPr>
          <w:p w14:paraId="55AD4471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23FC07CC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53089C70" w14:textId="3E3A03C5" w:rsidTr="00384056">
        <w:tc>
          <w:tcPr>
            <w:tcW w:w="6680" w:type="dxa"/>
          </w:tcPr>
          <w:p w14:paraId="51EED906" w14:textId="77777777" w:rsidR="00384056" w:rsidRPr="00240238" w:rsidRDefault="00384056" w:rsidP="00003EAA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Szafa teleinformatyczna 19" o co najmniej wysokości 42U (jednostki rack), zamykana, przeznaczona do kolokacji,</w:t>
            </w:r>
          </w:p>
        </w:tc>
        <w:tc>
          <w:tcPr>
            <w:tcW w:w="1000" w:type="dxa"/>
          </w:tcPr>
          <w:p w14:paraId="2EDACCA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52AF6F36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4A8C31FA" w14:textId="4335B82A" w:rsidTr="00384056">
        <w:tc>
          <w:tcPr>
            <w:tcW w:w="6680" w:type="dxa"/>
          </w:tcPr>
          <w:p w14:paraId="0C6645B0" w14:textId="77777777" w:rsidR="00384056" w:rsidRPr="00240238" w:rsidRDefault="00384056" w:rsidP="00003EAA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Wyłączne użytkowanie szafy przez Zamawiającego (dedykowana szafa, brak dzielenia z innymi klientami),</w:t>
            </w:r>
          </w:p>
        </w:tc>
        <w:tc>
          <w:tcPr>
            <w:tcW w:w="1000" w:type="dxa"/>
          </w:tcPr>
          <w:p w14:paraId="561C7550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EE70E2D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099E4450" w14:textId="7E03E30F" w:rsidTr="00384056">
        <w:tc>
          <w:tcPr>
            <w:tcW w:w="6680" w:type="dxa"/>
          </w:tcPr>
          <w:p w14:paraId="7F6610C5" w14:textId="77777777" w:rsidR="00384056" w:rsidRPr="00240238" w:rsidRDefault="00384056" w:rsidP="0033165F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Dostęp fizyczny do szafy przez 24 godziny na dobę, 7 dni w tygodniu, 365 dni w roku (24/7/365) w sposób stały, niezawodny i zgodny z procedurami bezpieczeństwa obiektu,</w:t>
            </w:r>
          </w:p>
        </w:tc>
        <w:tc>
          <w:tcPr>
            <w:tcW w:w="1000" w:type="dxa"/>
          </w:tcPr>
          <w:p w14:paraId="2C746B30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62AAE85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4162B4C4" w14:textId="62EEC591" w:rsidTr="00384056">
        <w:tc>
          <w:tcPr>
            <w:tcW w:w="6680" w:type="dxa"/>
          </w:tcPr>
          <w:p w14:paraId="17AF7686" w14:textId="77777777" w:rsidR="00384056" w:rsidRPr="00240238" w:rsidRDefault="00384056" w:rsidP="0033165F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Możliwość blokady szafy przez Zamawiającego (zgodnie z regulaminem obiektu),</w:t>
            </w:r>
          </w:p>
        </w:tc>
        <w:tc>
          <w:tcPr>
            <w:tcW w:w="1000" w:type="dxa"/>
          </w:tcPr>
          <w:p w14:paraId="2EC2200F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D1E38B1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406F32F6" w14:textId="3D350AD4" w:rsidTr="00384056">
        <w:tc>
          <w:tcPr>
            <w:tcW w:w="6680" w:type="dxa"/>
          </w:tcPr>
          <w:p w14:paraId="02BDA4FD" w14:textId="77777777" w:rsidR="00384056" w:rsidRPr="00240238" w:rsidRDefault="00384056" w:rsidP="0033165F">
            <w:pPr>
              <w:pStyle w:val="Akapitzlist"/>
              <w:numPr>
                <w:ilvl w:val="0"/>
                <w:numId w:val="1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Prowadzenie okablowania wewnątrz szafy (organizery pion/poziom, przepusty kablowe, system zarządzania przewodami).</w:t>
            </w:r>
          </w:p>
        </w:tc>
        <w:tc>
          <w:tcPr>
            <w:tcW w:w="1000" w:type="dxa"/>
          </w:tcPr>
          <w:p w14:paraId="5B4D9CF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6ED3DB5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583C314F" w14:textId="71766F5C" w:rsidTr="00384056">
        <w:tc>
          <w:tcPr>
            <w:tcW w:w="6680" w:type="dxa"/>
          </w:tcPr>
          <w:p w14:paraId="0502D1ED" w14:textId="77777777" w:rsidR="00384056" w:rsidRPr="00240238" w:rsidRDefault="00384056" w:rsidP="0033165F">
            <w:pPr>
              <w:rPr>
                <w:b/>
                <w:bCs/>
                <w:sz w:val="14"/>
                <w:szCs w:val="14"/>
              </w:rPr>
            </w:pPr>
            <w:bookmarkStart w:id="3" w:name="bm_3_3_2_zasilanie_5_kw"/>
            <w:r w:rsidRPr="00240238">
              <w:rPr>
                <w:b/>
                <w:bCs/>
                <w:sz w:val="14"/>
                <w:szCs w:val="14"/>
              </w:rPr>
              <w:t>Zasilanie – 5 kW</w:t>
            </w:r>
            <w:bookmarkEnd w:id="3"/>
          </w:p>
        </w:tc>
        <w:tc>
          <w:tcPr>
            <w:tcW w:w="1000" w:type="dxa"/>
          </w:tcPr>
          <w:p w14:paraId="21CC87C6" w14:textId="77777777" w:rsidR="00384056" w:rsidRPr="00240238" w:rsidRDefault="00384056" w:rsidP="0033165F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679B08FE" w14:textId="77777777" w:rsidR="00384056" w:rsidRPr="00240238" w:rsidRDefault="00384056" w:rsidP="0033165F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677D1CB4" w14:textId="309E1F7E" w:rsidTr="00384056">
        <w:tc>
          <w:tcPr>
            <w:tcW w:w="6680" w:type="dxa"/>
          </w:tcPr>
          <w:p w14:paraId="183C9717" w14:textId="77777777" w:rsidR="00384056" w:rsidRPr="00240238" w:rsidRDefault="00384056" w:rsidP="0033165F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Wykonawca zapewni zasilanie dla urządzeń zainstalowanych w szafie o następujących parametrach:</w:t>
            </w:r>
          </w:p>
        </w:tc>
        <w:tc>
          <w:tcPr>
            <w:tcW w:w="1000" w:type="dxa"/>
          </w:tcPr>
          <w:p w14:paraId="11169BDB" w14:textId="77777777" w:rsidR="00384056" w:rsidRPr="00240238" w:rsidRDefault="00384056" w:rsidP="0033165F">
            <w:pPr>
              <w:pStyle w:val="Akapitzlist"/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D2AF2D9" w14:textId="77777777" w:rsidR="00384056" w:rsidRPr="00240238" w:rsidRDefault="00384056" w:rsidP="0033165F">
            <w:pPr>
              <w:pStyle w:val="Akapitzlist"/>
              <w:rPr>
                <w:sz w:val="14"/>
                <w:szCs w:val="14"/>
              </w:rPr>
            </w:pPr>
          </w:p>
        </w:tc>
      </w:tr>
      <w:tr w:rsidR="00384056" w:rsidRPr="00240238" w14:paraId="66D45470" w14:textId="5088ACD5" w:rsidTr="00384056">
        <w:tc>
          <w:tcPr>
            <w:tcW w:w="6680" w:type="dxa"/>
          </w:tcPr>
          <w:p w14:paraId="45C30CF1" w14:textId="77777777" w:rsidR="00384056" w:rsidRPr="00240238" w:rsidRDefault="00384056" w:rsidP="00003EAA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Moc dostępna: 5 kW łącznej mocy przyłączeniowej do dyspozycji Zamawiającego (ciągle dostępna, gwarantowana),</w:t>
            </w:r>
          </w:p>
        </w:tc>
        <w:tc>
          <w:tcPr>
            <w:tcW w:w="1000" w:type="dxa"/>
          </w:tcPr>
          <w:p w14:paraId="5B939E3F" w14:textId="77777777" w:rsidR="00384056" w:rsidRPr="00240238" w:rsidRDefault="00384056" w:rsidP="0033165F">
            <w:pPr>
              <w:pStyle w:val="Akapitzlist"/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65B42F2" w14:textId="77777777" w:rsidR="00384056" w:rsidRPr="00240238" w:rsidRDefault="00384056" w:rsidP="0033165F">
            <w:pPr>
              <w:pStyle w:val="Akapitzlist"/>
              <w:rPr>
                <w:sz w:val="14"/>
                <w:szCs w:val="14"/>
              </w:rPr>
            </w:pPr>
          </w:p>
        </w:tc>
      </w:tr>
      <w:tr w:rsidR="00384056" w:rsidRPr="00240238" w14:paraId="0790A4DD" w14:textId="7601BFA0" w:rsidTr="00384056">
        <w:tc>
          <w:tcPr>
            <w:tcW w:w="6680" w:type="dxa"/>
          </w:tcPr>
          <w:p w14:paraId="7AB83330" w14:textId="77777777" w:rsidR="00384056" w:rsidRPr="00240238" w:rsidRDefault="00384056" w:rsidP="00003EAA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Redundancja zasilania: co najmniej dwa niezależne tory zasilania (A/B) do szafy; dystrybucja mocy poprzez co najmniej dwie niezależne listwa PDU (Power Distribution Units) z pomiarami poboru energii (na poziomie PDU lub per gniazdo – do wskazania w ofercie),</w:t>
            </w:r>
          </w:p>
        </w:tc>
        <w:tc>
          <w:tcPr>
            <w:tcW w:w="1000" w:type="dxa"/>
          </w:tcPr>
          <w:p w14:paraId="430DB259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C215DED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5C884660" w14:textId="78A299C0" w:rsidTr="00384056">
        <w:tc>
          <w:tcPr>
            <w:tcW w:w="6680" w:type="dxa"/>
          </w:tcPr>
          <w:p w14:paraId="53115F77" w14:textId="77777777" w:rsidR="00384056" w:rsidRPr="00240238" w:rsidRDefault="00384056" w:rsidP="00003EAA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Gwarancja zasilania: zasilanie podstawowe z sieci elektroenergetycznej zabezpieczone systemem UPS (zasilacz awaryjny) oraz agregatem prądotwórczym z automatycznym przełączaniem w przypadku zaniku napięcia; system przełączania ma działać bez utraty zasilania (seamless),</w:t>
            </w:r>
          </w:p>
        </w:tc>
        <w:tc>
          <w:tcPr>
            <w:tcW w:w="1000" w:type="dxa"/>
          </w:tcPr>
          <w:p w14:paraId="3B418815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0F1576F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7BB33F5F" w14:textId="060BE8D7" w:rsidTr="00384056">
        <w:tc>
          <w:tcPr>
            <w:tcW w:w="6680" w:type="dxa"/>
          </w:tcPr>
          <w:p w14:paraId="7300AB29" w14:textId="77777777" w:rsidR="00384056" w:rsidRPr="00240238" w:rsidRDefault="00384056" w:rsidP="00003EAA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lastRenderedPageBreak/>
              <w:t>Zabezpieczenia: ochrona przeciwprzepięciowa i przeciwprzeładunkowa na wszystkich liniach zasilających szafę (odpowiedzialność Wykonawcy),</w:t>
            </w:r>
          </w:p>
        </w:tc>
        <w:tc>
          <w:tcPr>
            <w:tcW w:w="1000" w:type="dxa"/>
          </w:tcPr>
          <w:p w14:paraId="6AEDB327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1F03190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772E6A76" w14:textId="7EED3008" w:rsidTr="00384056">
        <w:tc>
          <w:tcPr>
            <w:tcW w:w="6680" w:type="dxa"/>
          </w:tcPr>
          <w:p w14:paraId="26932CE7" w14:textId="77777777" w:rsidR="00384056" w:rsidRPr="00240238" w:rsidRDefault="00384056" w:rsidP="00003EAA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Pomiary i monitorowanie: możliwość odczytania pomiarów poboru energii w szafie przez Zamawiającego (np. poprzez portal, API, e-mail z raportami) – do uzgodnienia w umowie,</w:t>
            </w:r>
          </w:p>
        </w:tc>
        <w:tc>
          <w:tcPr>
            <w:tcW w:w="1000" w:type="dxa"/>
          </w:tcPr>
          <w:p w14:paraId="4B292D5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6C58A761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72665FE6" w14:textId="2F6B0694" w:rsidTr="00384056">
        <w:tc>
          <w:tcPr>
            <w:tcW w:w="6680" w:type="dxa"/>
          </w:tcPr>
          <w:p w14:paraId="4AB73B2F" w14:textId="77777777" w:rsidR="00384056" w:rsidRPr="00240238" w:rsidRDefault="00384056" w:rsidP="00003EAA">
            <w:pPr>
              <w:pStyle w:val="Akapitzlist"/>
              <w:numPr>
                <w:ilvl w:val="0"/>
                <w:numId w:val="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Model rozliczania: Wykonawca wskaże w ofercie, czy moc 5 kW jest rozliczana jako moc zarezerwowana (ryczałt bez względu na zużycie) czy jako limit średni/szczytowy – wybór modelu ma być jasny i uwzględniony w cenie brutto.</w:t>
            </w:r>
          </w:p>
        </w:tc>
        <w:tc>
          <w:tcPr>
            <w:tcW w:w="1000" w:type="dxa"/>
          </w:tcPr>
          <w:p w14:paraId="0A70566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7E81A7B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4DB86041" w14:textId="206EF63A" w:rsidTr="00384056">
        <w:tc>
          <w:tcPr>
            <w:tcW w:w="6680" w:type="dxa"/>
          </w:tcPr>
          <w:p w14:paraId="5C79F4FC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  <w:bookmarkStart w:id="4" w:name="bm_3_3_3_chłodzenie"/>
            <w:r w:rsidRPr="00240238">
              <w:rPr>
                <w:b/>
                <w:bCs/>
                <w:sz w:val="14"/>
                <w:szCs w:val="14"/>
              </w:rPr>
              <w:t>Chłodzenie</w:t>
            </w:r>
            <w:bookmarkEnd w:id="4"/>
          </w:p>
        </w:tc>
        <w:tc>
          <w:tcPr>
            <w:tcW w:w="1000" w:type="dxa"/>
          </w:tcPr>
          <w:p w14:paraId="4F0DEC85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5BE8E3AA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14F5658F" w14:textId="14DCE1F6" w:rsidTr="00384056">
        <w:tc>
          <w:tcPr>
            <w:tcW w:w="6680" w:type="dxa"/>
          </w:tcPr>
          <w:p w14:paraId="35518F5B" w14:textId="77777777" w:rsidR="00384056" w:rsidRPr="00240238" w:rsidRDefault="00384056" w:rsidP="00003EAA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Zapewnienie chłodzenia umożliwiającego bezpieczną, stabilną pracę urządzeń zainstalowanych w szafie przy obciążeniu cieplnym odpowiadającym 5 kW mocy IT,</w:t>
            </w:r>
          </w:p>
        </w:tc>
        <w:tc>
          <w:tcPr>
            <w:tcW w:w="1000" w:type="dxa"/>
          </w:tcPr>
          <w:p w14:paraId="6ED58F96" w14:textId="77777777" w:rsidR="00384056" w:rsidRPr="00240238" w:rsidRDefault="00384056" w:rsidP="0033165F">
            <w:pPr>
              <w:pStyle w:val="Akapitzlist"/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8D55016" w14:textId="77777777" w:rsidR="00384056" w:rsidRPr="00240238" w:rsidRDefault="00384056" w:rsidP="0033165F">
            <w:pPr>
              <w:pStyle w:val="Akapitzlist"/>
              <w:rPr>
                <w:sz w:val="14"/>
                <w:szCs w:val="14"/>
              </w:rPr>
            </w:pPr>
          </w:p>
        </w:tc>
      </w:tr>
      <w:tr w:rsidR="00384056" w:rsidRPr="00240238" w14:paraId="06CB218D" w14:textId="0321E6E8" w:rsidTr="00384056">
        <w:tc>
          <w:tcPr>
            <w:tcW w:w="6680" w:type="dxa"/>
          </w:tcPr>
          <w:p w14:paraId="2545EE13" w14:textId="77777777" w:rsidR="00384056" w:rsidRPr="00240238" w:rsidRDefault="00384056" w:rsidP="00003EAA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Utrzymanie warunków środowiskowych (temperatura i wilgotność) w standardzie obowiązującym dla profesjonalnych obiektów Data Center – Wykonawca poda w ofercie target parametry (np. temperatura 18–27°C, wilgotność 20–80% RH lub inne wymagane przez producenta sprzętu IT),</w:t>
            </w:r>
          </w:p>
        </w:tc>
        <w:tc>
          <w:tcPr>
            <w:tcW w:w="1000" w:type="dxa"/>
          </w:tcPr>
          <w:p w14:paraId="0A6AD9B4" w14:textId="77777777" w:rsidR="00384056" w:rsidRPr="00240238" w:rsidRDefault="00384056" w:rsidP="0033165F">
            <w:pPr>
              <w:pStyle w:val="Akapitzlist"/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6A4011D" w14:textId="77777777" w:rsidR="00384056" w:rsidRPr="00240238" w:rsidRDefault="00384056" w:rsidP="0033165F">
            <w:pPr>
              <w:pStyle w:val="Akapitzlist"/>
              <w:rPr>
                <w:sz w:val="14"/>
                <w:szCs w:val="14"/>
              </w:rPr>
            </w:pPr>
          </w:p>
        </w:tc>
      </w:tr>
      <w:tr w:rsidR="00384056" w:rsidRPr="00240238" w14:paraId="69C61A8C" w14:textId="69BDF41D" w:rsidTr="00384056">
        <w:tc>
          <w:tcPr>
            <w:tcW w:w="6680" w:type="dxa"/>
          </w:tcPr>
          <w:p w14:paraId="39D2DF1C" w14:textId="77777777" w:rsidR="00384056" w:rsidRPr="00240238" w:rsidRDefault="00384056" w:rsidP="00003EAA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Monitoring 24/7 warunków termicznych w obiekcie z procedurą alertowania w przypadku przekroczeń lub awarii systemu chłodzenia,</w:t>
            </w:r>
          </w:p>
        </w:tc>
        <w:tc>
          <w:tcPr>
            <w:tcW w:w="1000" w:type="dxa"/>
          </w:tcPr>
          <w:p w14:paraId="20F0783D" w14:textId="77777777" w:rsidR="00384056" w:rsidRPr="0033165F" w:rsidRDefault="00384056" w:rsidP="0033165F">
            <w:pPr>
              <w:ind w:left="360"/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74AE3A3" w14:textId="77777777" w:rsidR="00384056" w:rsidRPr="0033165F" w:rsidRDefault="00384056" w:rsidP="0033165F">
            <w:pPr>
              <w:ind w:left="360"/>
              <w:rPr>
                <w:sz w:val="14"/>
                <w:szCs w:val="14"/>
              </w:rPr>
            </w:pPr>
          </w:p>
        </w:tc>
      </w:tr>
      <w:tr w:rsidR="00384056" w:rsidRPr="00240238" w14:paraId="34044064" w14:textId="5B01DF5D" w:rsidTr="00384056">
        <w:tc>
          <w:tcPr>
            <w:tcW w:w="6680" w:type="dxa"/>
          </w:tcPr>
          <w:p w14:paraId="6FF563D8" w14:textId="77777777" w:rsidR="00384056" w:rsidRPr="00240238" w:rsidRDefault="00384056" w:rsidP="00003EAA">
            <w:pPr>
              <w:pStyle w:val="Akapitzlist"/>
              <w:numPr>
                <w:ilvl w:val="0"/>
                <w:numId w:val="3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Brak dodatkowych opłat za „in-row cooling" lub „cold aisle/hot aisle" (jeśli są stosowane w obiekcie) – albo wyszczególnienie ich w cenie ryczałtowej; wszelkie dodatkowe rozwiązania chłodzące muszą być wliczone w cenę brutto 36/60 miesięcy.</w:t>
            </w:r>
          </w:p>
        </w:tc>
        <w:tc>
          <w:tcPr>
            <w:tcW w:w="1000" w:type="dxa"/>
          </w:tcPr>
          <w:p w14:paraId="23523C2A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1E2DB62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51B533D8" w14:textId="7114D28A" w:rsidTr="00384056">
        <w:tc>
          <w:tcPr>
            <w:tcW w:w="6680" w:type="dxa"/>
          </w:tcPr>
          <w:p w14:paraId="22271DF6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  <w:bookmarkStart w:id="5" w:name="bm_3_3_4_internet_i_adresacja_ip"/>
            <w:r w:rsidRPr="00240238">
              <w:rPr>
                <w:b/>
                <w:bCs/>
                <w:sz w:val="14"/>
                <w:szCs w:val="14"/>
              </w:rPr>
              <w:t>Internet i adresacja IP</w:t>
            </w:r>
            <w:bookmarkEnd w:id="5"/>
          </w:p>
        </w:tc>
        <w:tc>
          <w:tcPr>
            <w:tcW w:w="1000" w:type="dxa"/>
          </w:tcPr>
          <w:p w14:paraId="590DCFDB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46DDE2E8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2AB3D788" w14:textId="186D152F" w:rsidTr="00384056">
        <w:tc>
          <w:tcPr>
            <w:tcW w:w="6680" w:type="dxa"/>
          </w:tcPr>
          <w:p w14:paraId="2F92B844" w14:textId="77777777" w:rsidR="00384056" w:rsidRPr="00240238" w:rsidRDefault="00384056" w:rsidP="00003EAA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Łącze Internetowe symetryczne o przepustowości co najmniej 1 Gb/s (giga-bit na sekundę, dwukierunkowo),</w:t>
            </w:r>
          </w:p>
        </w:tc>
        <w:tc>
          <w:tcPr>
            <w:tcW w:w="1000" w:type="dxa"/>
          </w:tcPr>
          <w:p w14:paraId="10BA47F6" w14:textId="77777777" w:rsidR="00384056" w:rsidRPr="0033165F" w:rsidRDefault="00384056" w:rsidP="0033165F">
            <w:pPr>
              <w:ind w:left="360"/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BD25B95" w14:textId="77777777" w:rsidR="00384056" w:rsidRPr="0033165F" w:rsidRDefault="00384056" w:rsidP="0033165F">
            <w:pPr>
              <w:ind w:left="360"/>
              <w:rPr>
                <w:sz w:val="14"/>
                <w:szCs w:val="14"/>
              </w:rPr>
            </w:pPr>
          </w:p>
        </w:tc>
      </w:tr>
      <w:tr w:rsidR="00384056" w:rsidRPr="00240238" w14:paraId="15983D16" w14:textId="3A59A69C" w:rsidTr="00384056">
        <w:tc>
          <w:tcPr>
            <w:tcW w:w="6680" w:type="dxa"/>
          </w:tcPr>
          <w:p w14:paraId="5060332E" w14:textId="77777777" w:rsidR="00384056" w:rsidRPr="00240238" w:rsidRDefault="00384056" w:rsidP="00003EAA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Publiczna adresacja IPv4: co najmniej pula /28 (16 adresów, z czego 14 użytecznych), routowana do infrastruktury Zamawiającego,</w:t>
            </w:r>
          </w:p>
        </w:tc>
        <w:tc>
          <w:tcPr>
            <w:tcW w:w="1000" w:type="dxa"/>
          </w:tcPr>
          <w:p w14:paraId="78016420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C597542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2DDA83F0" w14:textId="2EEFBA0D" w:rsidTr="00384056">
        <w:tc>
          <w:tcPr>
            <w:tcW w:w="6680" w:type="dxa"/>
          </w:tcPr>
          <w:p w14:paraId="0C6C3283" w14:textId="77777777" w:rsidR="00384056" w:rsidRPr="00240238" w:rsidRDefault="00384056" w:rsidP="00003EAA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Zakończenie łącza w szafie Zamawiającego poprzez port Ethernet 1 GbE (RJ-45) lub interfejs SFP/SFP+ (typ interfejsu Wykonawca wskaże w ofercie),</w:t>
            </w:r>
          </w:p>
        </w:tc>
        <w:tc>
          <w:tcPr>
            <w:tcW w:w="1000" w:type="dxa"/>
          </w:tcPr>
          <w:p w14:paraId="346E0834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DC140D1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48C1C11D" w14:textId="302C33EA" w:rsidTr="00384056">
        <w:tc>
          <w:tcPr>
            <w:tcW w:w="6680" w:type="dxa"/>
          </w:tcPr>
          <w:p w14:paraId="33045871" w14:textId="77777777" w:rsidR="00384056" w:rsidRPr="00240238" w:rsidRDefault="00384056" w:rsidP="00003EAA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Dostęp do łącza bez filtrów zawartości/web-filtrów (jeśli inaczej nie uzgodniono); w razie potrzeby ochrony DDoS – jako usługa dodatkowa do wyceny,</w:t>
            </w:r>
          </w:p>
        </w:tc>
        <w:tc>
          <w:tcPr>
            <w:tcW w:w="1000" w:type="dxa"/>
          </w:tcPr>
          <w:p w14:paraId="22DB041A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AD074D8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2A4C9190" w14:textId="0AF884F4" w:rsidTr="00384056">
        <w:tc>
          <w:tcPr>
            <w:tcW w:w="6680" w:type="dxa"/>
          </w:tcPr>
          <w:p w14:paraId="4C1A5C1D" w14:textId="77777777" w:rsidR="00384056" w:rsidRPr="00240238" w:rsidRDefault="00384056" w:rsidP="00003EAA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Publiczna pula /28 routowana statycznie lub poprzez BGP (sposób routowania Wykonawca wskaże w ofercie oraz wyjaśni w dokumentacji technicznej),</w:t>
            </w:r>
          </w:p>
        </w:tc>
        <w:tc>
          <w:tcPr>
            <w:tcW w:w="1000" w:type="dxa"/>
          </w:tcPr>
          <w:p w14:paraId="45F2577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B11369D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7D810AF1" w14:textId="18243FE0" w:rsidTr="00384056">
        <w:tc>
          <w:tcPr>
            <w:tcW w:w="6680" w:type="dxa"/>
          </w:tcPr>
          <w:p w14:paraId="567910A9" w14:textId="77777777" w:rsidR="00384056" w:rsidRPr="00240238" w:rsidRDefault="00384056" w:rsidP="00003EAA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NOC/Service Desk dostępny 24/7 dla zgłaszania incydentów związanych z łączem.</w:t>
            </w:r>
          </w:p>
        </w:tc>
        <w:tc>
          <w:tcPr>
            <w:tcW w:w="1000" w:type="dxa"/>
          </w:tcPr>
          <w:p w14:paraId="3320058D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1B33197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0B2A5F0E" w14:textId="533E0D37" w:rsidTr="00384056">
        <w:tc>
          <w:tcPr>
            <w:tcW w:w="6680" w:type="dxa"/>
          </w:tcPr>
          <w:p w14:paraId="5A8DC0CD" w14:textId="77777777" w:rsidR="00384056" w:rsidRPr="00240238" w:rsidRDefault="00384056" w:rsidP="00003EAA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IPv6 (opcjonalnie, bez dodatkowych opłat):</w:t>
            </w:r>
          </w:p>
        </w:tc>
        <w:tc>
          <w:tcPr>
            <w:tcW w:w="1000" w:type="dxa"/>
          </w:tcPr>
          <w:p w14:paraId="47755EC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0E8DEBA6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0D468F1A" w14:textId="7BE4885D" w:rsidTr="00384056">
        <w:tc>
          <w:tcPr>
            <w:tcW w:w="6680" w:type="dxa"/>
          </w:tcPr>
          <w:p w14:paraId="738D42BF" w14:textId="77777777" w:rsidR="00384056" w:rsidRPr="00240238" w:rsidRDefault="00384056" w:rsidP="00003EAA">
            <w:pPr>
              <w:pStyle w:val="Akapitzlist"/>
              <w:numPr>
                <w:ilvl w:val="0"/>
                <w:numId w:val="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Zamawiający nie wymaga IPv6 jako warunku udziału w postępowaniu, jednak Wykonawca zobowiązany jest zapewnić możliwość uruchomienia IPv6 (prefiks /64 lub większy) w trakcie trwania umowy, bez dodatkowych opłat za uruchomienie i routowanie,</w:t>
            </w:r>
          </w:p>
        </w:tc>
        <w:tc>
          <w:tcPr>
            <w:tcW w:w="1000" w:type="dxa"/>
          </w:tcPr>
          <w:p w14:paraId="08A3D21C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0950561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1DD1969D" w14:textId="351C9A41" w:rsidTr="00384056">
        <w:tc>
          <w:tcPr>
            <w:tcW w:w="6680" w:type="dxa"/>
          </w:tcPr>
          <w:p w14:paraId="66EC99B5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  <w:bookmarkStart w:id="6" w:name="bm_3_3_5_dostęp_fizyczny_24_7_365"/>
            <w:r w:rsidRPr="00240238">
              <w:rPr>
                <w:b/>
                <w:bCs/>
                <w:sz w:val="14"/>
                <w:szCs w:val="14"/>
              </w:rPr>
              <w:t>Dostęp fizyczny 24/7/365</w:t>
            </w:r>
            <w:bookmarkEnd w:id="6"/>
          </w:p>
        </w:tc>
        <w:tc>
          <w:tcPr>
            <w:tcW w:w="1000" w:type="dxa"/>
          </w:tcPr>
          <w:p w14:paraId="162ECE74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2556876E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6879FC84" w14:textId="0DD01565" w:rsidTr="00384056">
        <w:tc>
          <w:tcPr>
            <w:tcW w:w="6680" w:type="dxa"/>
          </w:tcPr>
          <w:p w14:paraId="0C8BC10E" w14:textId="77777777" w:rsidR="00384056" w:rsidRPr="00240238" w:rsidRDefault="00384056" w:rsidP="00003EAA">
            <w:pPr>
              <w:pStyle w:val="Akapitzlist"/>
              <w:numPr>
                <w:ilvl w:val="0"/>
                <w:numId w:val="5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Zamawiający lub wskazane przez niego osoby mają prawo dostępu do obiektu i do urządzeń zainstalowanych w szafie przez 24 godziny na dobę, 7 dni w tygodniu, 365 dni w roku,</w:t>
            </w:r>
          </w:p>
        </w:tc>
        <w:tc>
          <w:tcPr>
            <w:tcW w:w="1000" w:type="dxa"/>
          </w:tcPr>
          <w:p w14:paraId="1D4DC27B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02D17B71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6D02E546" w14:textId="01CD1A01" w:rsidTr="00384056">
        <w:tc>
          <w:tcPr>
            <w:tcW w:w="6680" w:type="dxa"/>
          </w:tcPr>
          <w:p w14:paraId="2AD94A44" w14:textId="77777777" w:rsidR="00384056" w:rsidRPr="00240238" w:rsidRDefault="00384056" w:rsidP="00003EAA">
            <w:pPr>
              <w:pStyle w:val="Akapitzlist"/>
              <w:numPr>
                <w:ilvl w:val="0"/>
                <w:numId w:val="5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Dostęp regulowany procedurami bezpieczeństwa obiektu (autoryzacja, rejestr wejść, ewentualnie awizacja) – jednak procedury nie mogą ograniczać dostępności poniżej 24/7/365 dla osób upoważnionych przez Zamawiającego,</w:t>
            </w:r>
          </w:p>
        </w:tc>
        <w:tc>
          <w:tcPr>
            <w:tcW w:w="1000" w:type="dxa"/>
          </w:tcPr>
          <w:p w14:paraId="69762AE1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46B5222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7FC9C5B0" w14:textId="5E377821" w:rsidTr="00384056">
        <w:tc>
          <w:tcPr>
            <w:tcW w:w="6680" w:type="dxa"/>
          </w:tcPr>
          <w:p w14:paraId="23228EB7" w14:textId="77777777" w:rsidR="00384056" w:rsidRPr="00240238" w:rsidRDefault="00384056" w:rsidP="00003EAA">
            <w:pPr>
              <w:pStyle w:val="Akapitzlist"/>
              <w:numPr>
                <w:ilvl w:val="0"/>
                <w:numId w:val="5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Osób upoważnionych może być kilka; procedura upoważniania musi być szybka i nie wymagać zgody innej strony (wystarczy zawiadomienie o zmianie personelu),</w:t>
            </w:r>
          </w:p>
        </w:tc>
        <w:tc>
          <w:tcPr>
            <w:tcW w:w="1000" w:type="dxa"/>
          </w:tcPr>
          <w:p w14:paraId="260B15DD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10861A8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17182847" w14:textId="116BB8DD" w:rsidTr="00384056">
        <w:tc>
          <w:tcPr>
            <w:tcW w:w="6680" w:type="dxa"/>
          </w:tcPr>
          <w:p w14:paraId="7AB1EE84" w14:textId="77777777" w:rsidR="00384056" w:rsidRPr="00240238" w:rsidRDefault="00384056" w:rsidP="00003EAA">
            <w:pPr>
              <w:pStyle w:val="Akapitzlist"/>
              <w:numPr>
                <w:ilvl w:val="0"/>
                <w:numId w:val="5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lastRenderedPageBreak/>
              <w:t>Możliwość bezpłatnego zmiany personelu dostępowego bez jakichkolwiek dodatkowych formalności lub opłat.</w:t>
            </w:r>
          </w:p>
        </w:tc>
        <w:tc>
          <w:tcPr>
            <w:tcW w:w="1000" w:type="dxa"/>
          </w:tcPr>
          <w:p w14:paraId="1574FD2C" w14:textId="77777777" w:rsidR="00384056" w:rsidRPr="0033165F" w:rsidRDefault="00384056" w:rsidP="0033165F">
            <w:pPr>
              <w:ind w:left="360"/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6C9FB513" w14:textId="77777777" w:rsidR="00384056" w:rsidRPr="0033165F" w:rsidRDefault="00384056" w:rsidP="0033165F">
            <w:pPr>
              <w:ind w:left="360"/>
              <w:rPr>
                <w:sz w:val="14"/>
                <w:szCs w:val="14"/>
              </w:rPr>
            </w:pPr>
          </w:p>
        </w:tc>
      </w:tr>
      <w:tr w:rsidR="00384056" w:rsidRPr="00240238" w14:paraId="3D4AFA14" w14:textId="33AB12E6" w:rsidTr="00384056">
        <w:tc>
          <w:tcPr>
            <w:tcW w:w="6680" w:type="dxa"/>
          </w:tcPr>
          <w:p w14:paraId="14CDFC0B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  <w:bookmarkStart w:id="7" w:name="bm_3_3_6_drugi_ośrodek_data_cente_b00459"/>
            <w:r w:rsidRPr="00240238">
              <w:rPr>
                <w:b/>
                <w:bCs/>
                <w:sz w:val="14"/>
                <w:szCs w:val="14"/>
              </w:rPr>
              <w:t>Drugi ośrodek Data Center (wymóg dla rozbudowy)</w:t>
            </w:r>
            <w:bookmarkEnd w:id="7"/>
          </w:p>
        </w:tc>
        <w:tc>
          <w:tcPr>
            <w:tcW w:w="1000" w:type="dxa"/>
          </w:tcPr>
          <w:p w14:paraId="65FD7C91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4500CE82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48F7CDCF" w14:textId="72028621" w:rsidTr="00384056">
        <w:tc>
          <w:tcPr>
            <w:tcW w:w="6680" w:type="dxa"/>
          </w:tcPr>
          <w:p w14:paraId="0068A112" w14:textId="77777777" w:rsidR="00384056" w:rsidRPr="00240238" w:rsidRDefault="00384056" w:rsidP="00003EAA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Wykonawca musi dysponować (samodzielnie lub w ramach grupy kapitałowej, lub poprzez podwykonawcę wskazanego w ofercie) drugim, niezależnym ośrodkiem przetwarzania danych (Data Center, serwerownią), położonym w innej lokalizacji niż pierwszy ośrodek,</w:t>
            </w:r>
          </w:p>
        </w:tc>
        <w:tc>
          <w:tcPr>
            <w:tcW w:w="1000" w:type="dxa"/>
          </w:tcPr>
          <w:p w14:paraId="7409D0D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65E089EF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2F34BE58" w14:textId="2E1D6C45" w:rsidTr="00384056">
        <w:tc>
          <w:tcPr>
            <w:tcW w:w="6680" w:type="dxa"/>
          </w:tcPr>
          <w:p w14:paraId="659F66B9" w14:textId="77777777" w:rsidR="00384056" w:rsidRPr="00240238" w:rsidRDefault="00384056" w:rsidP="00003EAA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Drugi ośrodek będzie dostępny do ewentualnego rozszerzenia usług Zamawiającego w przyszłości (kolokacja dodatkowych serwerów, redundancja, DR – disaster recovery),</w:t>
            </w:r>
          </w:p>
        </w:tc>
        <w:tc>
          <w:tcPr>
            <w:tcW w:w="1000" w:type="dxa"/>
          </w:tcPr>
          <w:p w14:paraId="08D3FD4F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9CF5142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128C968C" w14:textId="6688014F" w:rsidTr="00384056">
        <w:tc>
          <w:tcPr>
            <w:tcW w:w="6680" w:type="dxa"/>
          </w:tcPr>
          <w:p w14:paraId="15770878" w14:textId="77777777" w:rsidR="00384056" w:rsidRPr="00240238" w:rsidRDefault="00384056" w:rsidP="00003EAA">
            <w:pPr>
              <w:pStyle w:val="Akapitzlist"/>
              <w:numPr>
                <w:ilvl w:val="0"/>
                <w:numId w:val="6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Na etapie składania oferty Wykonawca zobowiązany jest podać:</w:t>
            </w:r>
          </w:p>
        </w:tc>
        <w:tc>
          <w:tcPr>
            <w:tcW w:w="1000" w:type="dxa"/>
          </w:tcPr>
          <w:p w14:paraId="55EF95BF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0AA720F3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3E408EC6" w14:textId="04F773D1" w:rsidTr="00384056">
        <w:tc>
          <w:tcPr>
            <w:tcW w:w="6680" w:type="dxa"/>
          </w:tcPr>
          <w:p w14:paraId="3678401E" w14:textId="77777777" w:rsidR="00384056" w:rsidRPr="00240238" w:rsidRDefault="00384056" w:rsidP="00003EAA">
            <w:pPr>
              <w:pStyle w:val="Akapitzlist"/>
              <w:numPr>
                <w:ilvl w:val="1"/>
                <w:numId w:val="6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adres (miejscowość, województwo) drugiego DC,</w:t>
            </w:r>
          </w:p>
        </w:tc>
        <w:tc>
          <w:tcPr>
            <w:tcW w:w="1000" w:type="dxa"/>
          </w:tcPr>
          <w:p w14:paraId="5E3AAB1A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422C6EF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42BDFECF" w14:textId="16ADD2D0" w:rsidTr="00384056">
        <w:tc>
          <w:tcPr>
            <w:tcW w:w="6680" w:type="dxa"/>
          </w:tcPr>
          <w:p w14:paraId="4DB20D88" w14:textId="77777777" w:rsidR="00384056" w:rsidRPr="00240238" w:rsidRDefault="00384056" w:rsidP="00003EAA">
            <w:pPr>
              <w:pStyle w:val="Akapitzlist"/>
              <w:numPr>
                <w:ilvl w:val="1"/>
                <w:numId w:val="6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krótką charakterystykę parametrów (dostęp 24/7/365, zasilanie/chłodzenie, dostępność łącz),</w:t>
            </w:r>
          </w:p>
        </w:tc>
        <w:tc>
          <w:tcPr>
            <w:tcW w:w="1000" w:type="dxa"/>
          </w:tcPr>
          <w:p w14:paraId="28E0EE7A" w14:textId="77777777" w:rsidR="00384056" w:rsidRPr="00240238" w:rsidRDefault="00384056" w:rsidP="00003EAA">
            <w:pPr>
              <w:pStyle w:val="Akapitzlist"/>
              <w:numPr>
                <w:ilvl w:val="1"/>
                <w:numId w:val="6"/>
              </w:num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57D35EE" w14:textId="77777777" w:rsidR="00384056" w:rsidRPr="00240238" w:rsidRDefault="00384056" w:rsidP="00003EAA">
            <w:pPr>
              <w:pStyle w:val="Akapitzlist"/>
              <w:numPr>
                <w:ilvl w:val="1"/>
                <w:numId w:val="6"/>
              </w:numPr>
              <w:rPr>
                <w:sz w:val="14"/>
                <w:szCs w:val="14"/>
              </w:rPr>
            </w:pPr>
          </w:p>
        </w:tc>
      </w:tr>
      <w:tr w:rsidR="00384056" w:rsidRPr="00240238" w14:paraId="2D1527EC" w14:textId="5C32BBAB" w:rsidTr="00384056">
        <w:tc>
          <w:tcPr>
            <w:tcW w:w="6680" w:type="dxa"/>
          </w:tcPr>
          <w:p w14:paraId="0DE53454" w14:textId="77777777" w:rsidR="00384056" w:rsidRPr="00240238" w:rsidRDefault="00384056" w:rsidP="00003EAA">
            <w:pPr>
              <w:pStyle w:val="Akapitzlist"/>
              <w:numPr>
                <w:ilvl w:val="1"/>
                <w:numId w:val="6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informację, czy możliwe są usługi łączności między ośrodkami (np. transmisja L2/L3, cross-connect, dedicated link)</w:t>
            </w:r>
          </w:p>
        </w:tc>
        <w:tc>
          <w:tcPr>
            <w:tcW w:w="1000" w:type="dxa"/>
          </w:tcPr>
          <w:p w14:paraId="450F6C16" w14:textId="77777777" w:rsidR="00384056" w:rsidRPr="00240238" w:rsidRDefault="00384056" w:rsidP="00003EAA">
            <w:pPr>
              <w:pStyle w:val="Akapitzlist"/>
              <w:numPr>
                <w:ilvl w:val="1"/>
                <w:numId w:val="6"/>
              </w:num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1568955" w14:textId="77777777" w:rsidR="00384056" w:rsidRPr="00240238" w:rsidRDefault="00384056" w:rsidP="00003EAA">
            <w:pPr>
              <w:pStyle w:val="Akapitzlist"/>
              <w:numPr>
                <w:ilvl w:val="1"/>
                <w:numId w:val="6"/>
              </w:numPr>
              <w:rPr>
                <w:sz w:val="14"/>
                <w:szCs w:val="14"/>
              </w:rPr>
            </w:pPr>
          </w:p>
        </w:tc>
      </w:tr>
      <w:tr w:rsidR="00384056" w:rsidRPr="00240238" w14:paraId="40A4AE29" w14:textId="1A66D001" w:rsidTr="00384056">
        <w:tc>
          <w:tcPr>
            <w:tcW w:w="6680" w:type="dxa"/>
          </w:tcPr>
          <w:p w14:paraId="1FA9656C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  <w:bookmarkStart w:id="8" w:name="bm_3_4_wsparcie_operacyjne_i_obsł_bc86d3"/>
            <w:r w:rsidRPr="00240238">
              <w:rPr>
                <w:b/>
                <w:bCs/>
                <w:sz w:val="14"/>
                <w:szCs w:val="14"/>
              </w:rPr>
              <w:t>Wsparcie operacyjne i obsługa zgłoszeń</w:t>
            </w:r>
            <w:bookmarkEnd w:id="8"/>
          </w:p>
        </w:tc>
        <w:tc>
          <w:tcPr>
            <w:tcW w:w="1000" w:type="dxa"/>
          </w:tcPr>
          <w:p w14:paraId="4E04C57F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754668F0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69FBE82D" w14:textId="0A525EAD" w:rsidTr="00384056">
        <w:tc>
          <w:tcPr>
            <w:tcW w:w="6680" w:type="dxa"/>
          </w:tcPr>
          <w:p w14:paraId="08BA3124" w14:textId="77777777" w:rsidR="00384056" w:rsidRPr="00240238" w:rsidRDefault="00384056" w:rsidP="00003EAA">
            <w:pPr>
              <w:pStyle w:val="Akapitzlist"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Wsparcie dostępne 24/7/365 dla zgłaszania incydentów krytycznych (zasilanie, chłodzenie, łącze),</w:t>
            </w:r>
          </w:p>
        </w:tc>
        <w:tc>
          <w:tcPr>
            <w:tcW w:w="1000" w:type="dxa"/>
          </w:tcPr>
          <w:p w14:paraId="58BB5792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506B7F1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23A8198B" w14:textId="6B6CCC4A" w:rsidTr="00384056">
        <w:tc>
          <w:tcPr>
            <w:tcW w:w="6680" w:type="dxa"/>
          </w:tcPr>
          <w:p w14:paraId="0006E5BC" w14:textId="77777777" w:rsidR="00384056" w:rsidRPr="00240238" w:rsidRDefault="00384056" w:rsidP="00003EAA">
            <w:pPr>
              <w:pStyle w:val="Akapitzlist"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 xml:space="preserve">Kanały kontaktu: </w:t>
            </w:r>
          </w:p>
        </w:tc>
        <w:tc>
          <w:tcPr>
            <w:tcW w:w="1000" w:type="dxa"/>
          </w:tcPr>
          <w:p w14:paraId="23BA8E37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7E6169D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3114592E" w14:textId="41B6C7DF" w:rsidTr="00384056">
        <w:tc>
          <w:tcPr>
            <w:tcW w:w="6680" w:type="dxa"/>
          </w:tcPr>
          <w:p w14:paraId="02E89E7A" w14:textId="77777777" w:rsidR="00384056" w:rsidRPr="00240238" w:rsidRDefault="00384056" w:rsidP="00003EAA">
            <w:pPr>
              <w:pStyle w:val="Akapitzlist"/>
              <w:numPr>
                <w:ilvl w:val="1"/>
                <w:numId w:val="7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Telefon</w:t>
            </w:r>
          </w:p>
        </w:tc>
        <w:tc>
          <w:tcPr>
            <w:tcW w:w="1000" w:type="dxa"/>
          </w:tcPr>
          <w:p w14:paraId="492299EB" w14:textId="77777777" w:rsidR="00384056" w:rsidRPr="00240238" w:rsidRDefault="00384056" w:rsidP="00003EAA">
            <w:pPr>
              <w:pStyle w:val="Akapitzlist"/>
              <w:numPr>
                <w:ilvl w:val="1"/>
                <w:numId w:val="7"/>
              </w:num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C1E7DA5" w14:textId="77777777" w:rsidR="00384056" w:rsidRPr="00240238" w:rsidRDefault="00384056" w:rsidP="00003EAA">
            <w:pPr>
              <w:pStyle w:val="Akapitzlist"/>
              <w:numPr>
                <w:ilvl w:val="1"/>
                <w:numId w:val="7"/>
              </w:numPr>
              <w:rPr>
                <w:sz w:val="14"/>
                <w:szCs w:val="14"/>
              </w:rPr>
            </w:pPr>
          </w:p>
        </w:tc>
      </w:tr>
      <w:tr w:rsidR="00384056" w:rsidRPr="00240238" w14:paraId="549B779F" w14:textId="6A663995" w:rsidTr="00384056">
        <w:tc>
          <w:tcPr>
            <w:tcW w:w="6680" w:type="dxa"/>
          </w:tcPr>
          <w:p w14:paraId="74AE0FA7" w14:textId="77777777" w:rsidR="00384056" w:rsidRPr="00240238" w:rsidRDefault="00384056" w:rsidP="00003EAA">
            <w:pPr>
              <w:pStyle w:val="Akapitzlist"/>
              <w:numPr>
                <w:ilvl w:val="1"/>
                <w:numId w:val="7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e-mail</w:t>
            </w:r>
          </w:p>
        </w:tc>
        <w:tc>
          <w:tcPr>
            <w:tcW w:w="1000" w:type="dxa"/>
          </w:tcPr>
          <w:p w14:paraId="59425FF5" w14:textId="77777777" w:rsidR="00384056" w:rsidRPr="00240238" w:rsidRDefault="00384056" w:rsidP="00003EAA">
            <w:pPr>
              <w:pStyle w:val="Akapitzlist"/>
              <w:numPr>
                <w:ilvl w:val="1"/>
                <w:numId w:val="7"/>
              </w:num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6EBC0702" w14:textId="77777777" w:rsidR="00384056" w:rsidRPr="00240238" w:rsidRDefault="00384056" w:rsidP="00003EAA">
            <w:pPr>
              <w:pStyle w:val="Akapitzlist"/>
              <w:numPr>
                <w:ilvl w:val="1"/>
                <w:numId w:val="7"/>
              </w:numPr>
              <w:rPr>
                <w:sz w:val="14"/>
                <w:szCs w:val="14"/>
              </w:rPr>
            </w:pPr>
          </w:p>
        </w:tc>
      </w:tr>
      <w:tr w:rsidR="00384056" w:rsidRPr="00240238" w14:paraId="6904571D" w14:textId="2DF7FBD9" w:rsidTr="00384056">
        <w:tc>
          <w:tcPr>
            <w:tcW w:w="6680" w:type="dxa"/>
          </w:tcPr>
          <w:p w14:paraId="6B48F5A3" w14:textId="77777777" w:rsidR="00384056" w:rsidRPr="00240238" w:rsidRDefault="00384056" w:rsidP="00003EAA">
            <w:pPr>
              <w:pStyle w:val="Akapitzlist"/>
              <w:numPr>
                <w:ilvl w:val="1"/>
                <w:numId w:val="7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ewentualnie system ticketowy (do uzgodnienia w umowie),</w:t>
            </w:r>
          </w:p>
        </w:tc>
        <w:tc>
          <w:tcPr>
            <w:tcW w:w="1000" w:type="dxa"/>
          </w:tcPr>
          <w:p w14:paraId="7B4A2491" w14:textId="77777777" w:rsidR="00384056" w:rsidRPr="00240238" w:rsidRDefault="00384056" w:rsidP="00003EAA">
            <w:pPr>
              <w:pStyle w:val="Akapitzlist"/>
              <w:numPr>
                <w:ilvl w:val="1"/>
                <w:numId w:val="7"/>
              </w:num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D85758C" w14:textId="77777777" w:rsidR="00384056" w:rsidRPr="00240238" w:rsidRDefault="00384056" w:rsidP="00003EAA">
            <w:pPr>
              <w:pStyle w:val="Akapitzlist"/>
              <w:numPr>
                <w:ilvl w:val="1"/>
                <w:numId w:val="7"/>
              </w:numPr>
              <w:rPr>
                <w:sz w:val="14"/>
                <w:szCs w:val="14"/>
              </w:rPr>
            </w:pPr>
          </w:p>
        </w:tc>
      </w:tr>
      <w:tr w:rsidR="00384056" w:rsidRPr="00240238" w14:paraId="111E99E4" w14:textId="6F3E7EAB" w:rsidTr="00384056">
        <w:tc>
          <w:tcPr>
            <w:tcW w:w="6680" w:type="dxa"/>
          </w:tcPr>
          <w:p w14:paraId="668ED8C3" w14:textId="77777777" w:rsidR="00384056" w:rsidRPr="00240238" w:rsidRDefault="00384056" w:rsidP="00003EAA">
            <w:pPr>
              <w:pStyle w:val="Akapitzlist"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Gwarantowane czasy reakcji: na incydenty krytyczne do 30 minut od momentu zgłoszenia (w trakcie pierwszego nawiązania kontaktu),</w:t>
            </w:r>
          </w:p>
        </w:tc>
        <w:tc>
          <w:tcPr>
            <w:tcW w:w="1000" w:type="dxa"/>
          </w:tcPr>
          <w:p w14:paraId="59F03D90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B8E4774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22D9DD4C" w14:textId="69C46992" w:rsidTr="00384056">
        <w:tc>
          <w:tcPr>
            <w:tcW w:w="6680" w:type="dxa"/>
          </w:tcPr>
          <w:p w14:paraId="5E028CA1" w14:textId="77777777" w:rsidR="00384056" w:rsidRPr="00240238" w:rsidRDefault="00384056" w:rsidP="00003EAA">
            <w:pPr>
              <w:pStyle w:val="Akapitzlist"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Gwarantowany czas usunięcia awarii: do 4 godzin dla incydentów krytycznych (zasilanie/chłodzenie), do 8 godzin dla łącza (lub parametry wymagane przez Zamawiającego – do uzgodnienia),</w:t>
            </w:r>
          </w:p>
        </w:tc>
        <w:tc>
          <w:tcPr>
            <w:tcW w:w="1000" w:type="dxa"/>
          </w:tcPr>
          <w:p w14:paraId="11C41EBD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F12F1A3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225A50A9" w14:textId="208CA30D" w:rsidTr="00384056">
        <w:tc>
          <w:tcPr>
            <w:tcW w:w="6680" w:type="dxa"/>
          </w:tcPr>
          <w:p w14:paraId="1B0B7A2A" w14:textId="77777777" w:rsidR="00384056" w:rsidRPr="00240238" w:rsidRDefault="00384056" w:rsidP="00003EAA">
            <w:pPr>
              <w:pStyle w:val="Akapitzlist"/>
              <w:numPr>
                <w:ilvl w:val="0"/>
                <w:numId w:val="7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Raportowanie: dostępność usługi raportowana minimum raz w miesiącu (albo na żądanie) w postaci raportu z procentowym wskaźnikiem uptime dla zasilania/chłodzenia oraz łącza.</w:t>
            </w:r>
          </w:p>
        </w:tc>
        <w:tc>
          <w:tcPr>
            <w:tcW w:w="1000" w:type="dxa"/>
          </w:tcPr>
          <w:p w14:paraId="2079DDAB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E57FED7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76565297" w14:textId="009610A4" w:rsidTr="00384056">
        <w:tc>
          <w:tcPr>
            <w:tcW w:w="6680" w:type="dxa"/>
          </w:tcPr>
          <w:p w14:paraId="7DD52E18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  <w:bookmarkStart w:id="9" w:name="bm_3_5_bezpieczeństwo_fizyczne_obiektu"/>
            <w:r w:rsidRPr="00240238">
              <w:rPr>
                <w:b/>
                <w:bCs/>
                <w:sz w:val="14"/>
                <w:szCs w:val="14"/>
              </w:rPr>
              <w:t>Bezpieczeństwo fizyczne obiektu</w:t>
            </w:r>
            <w:bookmarkEnd w:id="9"/>
          </w:p>
        </w:tc>
        <w:tc>
          <w:tcPr>
            <w:tcW w:w="1000" w:type="dxa"/>
          </w:tcPr>
          <w:p w14:paraId="5E024E59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18092704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116B04E4" w14:textId="511F9636" w:rsidTr="00384056">
        <w:tc>
          <w:tcPr>
            <w:tcW w:w="6680" w:type="dxa"/>
          </w:tcPr>
          <w:p w14:paraId="68AB5F11" w14:textId="77777777" w:rsidR="00384056" w:rsidRPr="00240238" w:rsidRDefault="00384056" w:rsidP="00003EAA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Ochrona obiektu 24/7/365 (ochrona fizyczna, monitoring CCTV w częściach wspólnych),</w:t>
            </w:r>
          </w:p>
        </w:tc>
        <w:tc>
          <w:tcPr>
            <w:tcW w:w="1000" w:type="dxa"/>
          </w:tcPr>
          <w:p w14:paraId="2469B403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3D272F1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1D1B5458" w14:textId="0C052D72" w:rsidTr="00384056">
        <w:tc>
          <w:tcPr>
            <w:tcW w:w="6680" w:type="dxa"/>
          </w:tcPr>
          <w:p w14:paraId="51A76004" w14:textId="77777777" w:rsidR="00384056" w:rsidRPr="00240238" w:rsidRDefault="00384056" w:rsidP="00003EAA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Kontrola dostępu (karta dostępu/biometria/PIN) z rejestracją wszystkich wejść i wyjść,</w:t>
            </w:r>
          </w:p>
        </w:tc>
        <w:tc>
          <w:tcPr>
            <w:tcW w:w="1000" w:type="dxa"/>
          </w:tcPr>
          <w:p w14:paraId="71867FBB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DAD36B8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00961C3C" w14:textId="00D41D6D" w:rsidTr="00384056">
        <w:tc>
          <w:tcPr>
            <w:tcW w:w="6680" w:type="dxa"/>
          </w:tcPr>
          <w:p w14:paraId="3C7F741C" w14:textId="77777777" w:rsidR="00384056" w:rsidRPr="00240238" w:rsidRDefault="00384056" w:rsidP="00003EAA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Procedury bezpieczeństwa dla gości i pracowników zewnętrznych (z wymaganym zaawizowaniem),</w:t>
            </w:r>
          </w:p>
        </w:tc>
        <w:tc>
          <w:tcPr>
            <w:tcW w:w="1000" w:type="dxa"/>
          </w:tcPr>
          <w:p w14:paraId="4940056C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6479966B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55D24318" w14:textId="5156E5F2" w:rsidTr="00384056">
        <w:tc>
          <w:tcPr>
            <w:tcW w:w="6680" w:type="dxa"/>
          </w:tcPr>
          <w:p w14:paraId="19C5D6E8" w14:textId="77777777" w:rsidR="00384056" w:rsidRPr="00240238" w:rsidRDefault="00384056" w:rsidP="00003EAA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Strefowanie obiektu (oddzielenie pomieszczeń klientowskich od stref technicznych i magazynowych),</w:t>
            </w:r>
          </w:p>
        </w:tc>
        <w:tc>
          <w:tcPr>
            <w:tcW w:w="1000" w:type="dxa"/>
          </w:tcPr>
          <w:p w14:paraId="12C10D17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0DC049E3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7DFDD8D7" w14:textId="77283030" w:rsidTr="00384056">
        <w:tc>
          <w:tcPr>
            <w:tcW w:w="6680" w:type="dxa"/>
          </w:tcPr>
          <w:p w14:paraId="7E64D9A0" w14:textId="77777777" w:rsidR="00384056" w:rsidRPr="00240238" w:rsidRDefault="00384056" w:rsidP="00003EAA">
            <w:pPr>
              <w:pStyle w:val="Akapitzlist"/>
              <w:numPr>
                <w:ilvl w:val="0"/>
                <w:numId w:val="8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Ochrona przed zagrożeniami fizycznymi: system przeciwpożarowy (detekcja dymu, systemy gaszące – niezagrażające sprzętowi IT), systemy oddymiające, wyjścia ewakuacyjne.</w:t>
            </w:r>
          </w:p>
        </w:tc>
        <w:tc>
          <w:tcPr>
            <w:tcW w:w="1000" w:type="dxa"/>
          </w:tcPr>
          <w:p w14:paraId="5D14EF32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5BCD9247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2CCDA1C2" w14:textId="6A161E2A" w:rsidTr="00384056">
        <w:tc>
          <w:tcPr>
            <w:tcW w:w="6680" w:type="dxa"/>
          </w:tcPr>
          <w:p w14:paraId="0E74AAEB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  <w:bookmarkStart w:id="10" w:name="bm_3_6_zgodność_ze_standardami_i_3d05e7"/>
            <w:r w:rsidRPr="00240238">
              <w:rPr>
                <w:b/>
                <w:bCs/>
                <w:sz w:val="14"/>
                <w:szCs w:val="14"/>
              </w:rPr>
              <w:t>Zgodność ze standardami i bezpieczeństwem informacji</w:t>
            </w:r>
            <w:bookmarkEnd w:id="10"/>
          </w:p>
        </w:tc>
        <w:tc>
          <w:tcPr>
            <w:tcW w:w="1000" w:type="dxa"/>
          </w:tcPr>
          <w:p w14:paraId="00154745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6D902B17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4E1F406F" w14:textId="5490A18A" w:rsidTr="00384056">
        <w:tc>
          <w:tcPr>
            <w:tcW w:w="6680" w:type="dxa"/>
          </w:tcPr>
          <w:p w14:paraId="67C365A4" w14:textId="77777777" w:rsidR="00384056" w:rsidRPr="00240238" w:rsidRDefault="00384056" w:rsidP="00003EAA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Wykonawca powinien dysponować lub wdrażać co najmniej:</w:t>
            </w:r>
          </w:p>
        </w:tc>
        <w:tc>
          <w:tcPr>
            <w:tcW w:w="1000" w:type="dxa"/>
          </w:tcPr>
          <w:p w14:paraId="254680E3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B92118F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</w:tr>
      <w:tr w:rsidR="00384056" w:rsidRPr="00240238" w14:paraId="7F6D383E" w14:textId="53397E87" w:rsidTr="00384056">
        <w:tc>
          <w:tcPr>
            <w:tcW w:w="6680" w:type="dxa"/>
          </w:tcPr>
          <w:p w14:paraId="1FF7C5D5" w14:textId="77777777" w:rsidR="00384056" w:rsidRPr="00240238" w:rsidRDefault="00384056" w:rsidP="00003EAA">
            <w:pPr>
              <w:pStyle w:val="Akapitzlist"/>
              <w:numPr>
                <w:ilvl w:val="0"/>
                <w:numId w:val="9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lastRenderedPageBreak/>
              <w:t>ISO/IEC 27001 (certyfikat) albo równoważne, udokumentowane procedury zarządzania bezpieczeństwem informacji obejmujące: kontrolę dostępu, identyfikację i uwierzytelnianie personelu, zarządzanie incydentami, procedury audytów wewnętrznych,</w:t>
            </w:r>
          </w:p>
        </w:tc>
        <w:tc>
          <w:tcPr>
            <w:tcW w:w="1000" w:type="dxa"/>
          </w:tcPr>
          <w:p w14:paraId="687D3065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5FB7E2F9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391722BA" w14:textId="3C3CE7EA" w:rsidTr="00384056">
        <w:tc>
          <w:tcPr>
            <w:tcW w:w="6680" w:type="dxa"/>
          </w:tcPr>
          <w:p w14:paraId="1C13A7C0" w14:textId="77777777" w:rsidR="00384056" w:rsidRPr="00240238" w:rsidRDefault="00384056" w:rsidP="00003EAA">
            <w:pPr>
              <w:pStyle w:val="Akapitzlist"/>
              <w:numPr>
                <w:ilvl w:val="0"/>
                <w:numId w:val="9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Procedury ciągłości działania (Business Continuity/Disaster Recovery) udokumentowane i testowane regularnie (minimum raz w roku),</w:t>
            </w:r>
          </w:p>
        </w:tc>
        <w:tc>
          <w:tcPr>
            <w:tcW w:w="1000" w:type="dxa"/>
          </w:tcPr>
          <w:p w14:paraId="7CBD632D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0799CB10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4A848A99" w14:textId="3E2DD3A4" w:rsidTr="00384056">
        <w:tc>
          <w:tcPr>
            <w:tcW w:w="6680" w:type="dxa"/>
          </w:tcPr>
          <w:p w14:paraId="479C1954" w14:textId="77777777" w:rsidR="00384056" w:rsidRPr="00240238" w:rsidRDefault="00384056" w:rsidP="00003EAA">
            <w:pPr>
              <w:pStyle w:val="Akapitzlist"/>
              <w:numPr>
                <w:ilvl w:val="0"/>
                <w:numId w:val="9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Procedury reagowania na incydenty (Incident Response Plan) z czasami eskalacji i powiadamiania klientów,</w:t>
            </w:r>
          </w:p>
        </w:tc>
        <w:tc>
          <w:tcPr>
            <w:tcW w:w="1000" w:type="dxa"/>
          </w:tcPr>
          <w:p w14:paraId="1E5D2F39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F1D0EB8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1B7B64AC" w14:textId="67412A05" w:rsidTr="00384056">
        <w:tc>
          <w:tcPr>
            <w:tcW w:w="6680" w:type="dxa"/>
          </w:tcPr>
          <w:p w14:paraId="59C5FCAD" w14:textId="77777777" w:rsidR="00384056" w:rsidRPr="00240238" w:rsidRDefault="00384056" w:rsidP="00003EAA">
            <w:pPr>
              <w:pStyle w:val="Akapitzlist"/>
              <w:numPr>
                <w:ilvl w:val="0"/>
                <w:numId w:val="9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Jeśli Wykonawca nie posiada certyfikatu ISO/IEC 27001, zobowiązany jest dostarczyć dokumentację potwierdzającą zastosowanie ww. procedur i kontroli (certyfikat wewnętrzny, audyt niezależny, itp.).</w:t>
            </w:r>
          </w:p>
        </w:tc>
        <w:tc>
          <w:tcPr>
            <w:tcW w:w="1000" w:type="dxa"/>
          </w:tcPr>
          <w:p w14:paraId="3E6B93C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9F5EACA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7907AED1" w14:textId="7D652FC7" w:rsidTr="00384056">
        <w:tc>
          <w:tcPr>
            <w:tcW w:w="6680" w:type="dxa"/>
          </w:tcPr>
          <w:p w14:paraId="67D1DC92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  <w:bookmarkStart w:id="11" w:name="bm_3_7_okres_świadczenia_usługi"/>
            <w:r w:rsidRPr="00240238">
              <w:rPr>
                <w:b/>
                <w:bCs/>
                <w:sz w:val="14"/>
                <w:szCs w:val="14"/>
              </w:rPr>
              <w:t>Okres świadczenia usługi</w:t>
            </w:r>
            <w:bookmarkEnd w:id="11"/>
          </w:p>
        </w:tc>
        <w:tc>
          <w:tcPr>
            <w:tcW w:w="1000" w:type="dxa"/>
          </w:tcPr>
          <w:p w14:paraId="1E9CFD14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2DE6DC95" w14:textId="77777777" w:rsidR="00384056" w:rsidRPr="00240238" w:rsidRDefault="00384056" w:rsidP="00003EAA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131188F3" w14:textId="322EA6F4" w:rsidTr="00384056">
        <w:tc>
          <w:tcPr>
            <w:tcW w:w="6680" w:type="dxa"/>
          </w:tcPr>
          <w:p w14:paraId="36CA89B4" w14:textId="7B3F25B8" w:rsidR="00384056" w:rsidRPr="00240238" w:rsidRDefault="00384056" w:rsidP="00003EAA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 xml:space="preserve">Usługa kolokacji będzie świadczona </w:t>
            </w:r>
            <w:r w:rsidR="005A48B1">
              <w:rPr>
                <w:sz w:val="14"/>
                <w:szCs w:val="14"/>
              </w:rPr>
              <w:t>przez</w:t>
            </w:r>
            <w:r w:rsidR="00A356D3">
              <w:rPr>
                <w:sz w:val="14"/>
                <w:szCs w:val="14"/>
              </w:rPr>
              <w:t>:</w:t>
            </w:r>
          </w:p>
        </w:tc>
        <w:tc>
          <w:tcPr>
            <w:tcW w:w="1000" w:type="dxa"/>
          </w:tcPr>
          <w:p w14:paraId="618E39AA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2C7A779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</w:tr>
      <w:tr w:rsidR="007F6B0E" w:rsidRPr="00240238" w14:paraId="6833BBC7" w14:textId="77777777" w:rsidTr="00762BDC">
        <w:trPr>
          <w:trHeight w:val="242"/>
        </w:trPr>
        <w:tc>
          <w:tcPr>
            <w:tcW w:w="6680" w:type="dxa"/>
          </w:tcPr>
          <w:p w14:paraId="4A97379E" w14:textId="352D9A7E" w:rsidR="007F6B0E" w:rsidRPr="00240238" w:rsidRDefault="00A356D3" w:rsidP="00762BD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Poniżej 36 miesięcy</w:t>
            </w:r>
          </w:p>
        </w:tc>
        <w:tc>
          <w:tcPr>
            <w:tcW w:w="1000" w:type="dxa"/>
          </w:tcPr>
          <w:p w14:paraId="263D956C" w14:textId="34773466" w:rsidR="007F6B0E" w:rsidRPr="00240238" w:rsidRDefault="007F6B0E" w:rsidP="007E22EF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0 - punktów</w:t>
            </w:r>
          </w:p>
        </w:tc>
        <w:tc>
          <w:tcPr>
            <w:tcW w:w="1000" w:type="dxa"/>
          </w:tcPr>
          <w:p w14:paraId="239A0EBA" w14:textId="77777777" w:rsidR="007F6B0E" w:rsidRPr="00240238" w:rsidRDefault="007F6B0E" w:rsidP="007E22EF">
            <w:pPr>
              <w:rPr>
                <w:sz w:val="14"/>
                <w:szCs w:val="14"/>
              </w:rPr>
            </w:pPr>
          </w:p>
        </w:tc>
      </w:tr>
      <w:tr w:rsidR="00384056" w:rsidRPr="00240238" w14:paraId="26F14081" w14:textId="10E9CFFB" w:rsidTr="006411BC">
        <w:trPr>
          <w:trHeight w:val="227"/>
        </w:trPr>
        <w:tc>
          <w:tcPr>
            <w:tcW w:w="6680" w:type="dxa"/>
          </w:tcPr>
          <w:p w14:paraId="22BF7B7D" w14:textId="173D9E9C" w:rsidR="00EA5F2F" w:rsidRPr="00240238" w:rsidRDefault="00384056" w:rsidP="00762BDC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 xml:space="preserve">Okres </w:t>
            </w:r>
            <w:r w:rsidR="006B4577">
              <w:rPr>
                <w:sz w:val="14"/>
                <w:szCs w:val="14"/>
              </w:rPr>
              <w:t>od 36</w:t>
            </w:r>
            <w:r w:rsidRPr="00240238">
              <w:rPr>
                <w:sz w:val="14"/>
                <w:szCs w:val="14"/>
              </w:rPr>
              <w:t xml:space="preserve"> </w:t>
            </w:r>
            <w:r w:rsidR="006411BC">
              <w:rPr>
                <w:sz w:val="14"/>
                <w:szCs w:val="14"/>
              </w:rPr>
              <w:t xml:space="preserve">do </w:t>
            </w:r>
            <w:r w:rsidR="00A356D3">
              <w:rPr>
                <w:sz w:val="14"/>
                <w:szCs w:val="14"/>
              </w:rPr>
              <w:t>48</w:t>
            </w:r>
            <w:r w:rsidR="006411BC">
              <w:rPr>
                <w:sz w:val="14"/>
                <w:szCs w:val="14"/>
              </w:rPr>
              <w:t xml:space="preserve"> </w:t>
            </w:r>
            <w:r w:rsidRPr="00240238">
              <w:rPr>
                <w:sz w:val="14"/>
                <w:szCs w:val="14"/>
              </w:rPr>
              <w:t>miesięcy</w:t>
            </w:r>
          </w:p>
        </w:tc>
        <w:tc>
          <w:tcPr>
            <w:tcW w:w="1000" w:type="dxa"/>
          </w:tcPr>
          <w:p w14:paraId="712A462E" w14:textId="7E4C1748" w:rsidR="00384056" w:rsidRPr="00240238" w:rsidRDefault="006411BC" w:rsidP="00003E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  <w:r w:rsidR="000D5F68">
              <w:rPr>
                <w:sz w:val="14"/>
                <w:szCs w:val="14"/>
              </w:rPr>
              <w:t xml:space="preserve"> - punktów</w:t>
            </w:r>
          </w:p>
        </w:tc>
        <w:tc>
          <w:tcPr>
            <w:tcW w:w="1000" w:type="dxa"/>
          </w:tcPr>
          <w:p w14:paraId="74DC7AF7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</w:tr>
      <w:tr w:rsidR="00384056" w:rsidRPr="00240238" w14:paraId="6C092AC5" w14:textId="121E59AA" w:rsidTr="00384056">
        <w:tc>
          <w:tcPr>
            <w:tcW w:w="6680" w:type="dxa"/>
          </w:tcPr>
          <w:p w14:paraId="185E12EF" w14:textId="0BF8E033" w:rsidR="00384056" w:rsidRPr="00240238" w:rsidRDefault="00780D7B" w:rsidP="00003EAA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 xml:space="preserve">Okres </w:t>
            </w:r>
            <w:r>
              <w:rPr>
                <w:sz w:val="14"/>
                <w:szCs w:val="14"/>
              </w:rPr>
              <w:t xml:space="preserve">od </w:t>
            </w:r>
            <w:r>
              <w:rPr>
                <w:sz w:val="14"/>
                <w:szCs w:val="14"/>
              </w:rPr>
              <w:t>49</w:t>
            </w:r>
            <w:r w:rsidRPr="00240238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do </w:t>
            </w:r>
            <w:r>
              <w:rPr>
                <w:sz w:val="14"/>
                <w:szCs w:val="14"/>
              </w:rPr>
              <w:t>60</w:t>
            </w:r>
            <w:r>
              <w:rPr>
                <w:sz w:val="14"/>
                <w:szCs w:val="14"/>
              </w:rPr>
              <w:t xml:space="preserve"> </w:t>
            </w:r>
            <w:r w:rsidRPr="00240238">
              <w:rPr>
                <w:sz w:val="14"/>
                <w:szCs w:val="14"/>
              </w:rPr>
              <w:t>miesięcy</w:t>
            </w:r>
          </w:p>
        </w:tc>
        <w:tc>
          <w:tcPr>
            <w:tcW w:w="1000" w:type="dxa"/>
          </w:tcPr>
          <w:p w14:paraId="540076C8" w14:textId="6502C875" w:rsidR="00384056" w:rsidRPr="00240238" w:rsidRDefault="00780D7B" w:rsidP="00003E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</w:t>
            </w:r>
            <w:r w:rsidR="006411BC">
              <w:rPr>
                <w:sz w:val="14"/>
                <w:szCs w:val="14"/>
              </w:rPr>
              <w:t xml:space="preserve"> - punktów</w:t>
            </w:r>
          </w:p>
        </w:tc>
        <w:tc>
          <w:tcPr>
            <w:tcW w:w="1000" w:type="dxa"/>
          </w:tcPr>
          <w:p w14:paraId="31628AC7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</w:tr>
      <w:tr w:rsidR="00F14E31" w:rsidRPr="00240238" w14:paraId="587828B1" w14:textId="77777777" w:rsidTr="00384056">
        <w:tc>
          <w:tcPr>
            <w:tcW w:w="6680" w:type="dxa"/>
          </w:tcPr>
          <w:p w14:paraId="761B035B" w14:textId="562AA557" w:rsidR="00F14E31" w:rsidRPr="00240238" w:rsidRDefault="00780D7B" w:rsidP="00003E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  <w:r>
              <w:rPr>
                <w:sz w:val="14"/>
                <w:szCs w:val="14"/>
              </w:rPr>
              <w:t>1</w:t>
            </w:r>
            <w:r>
              <w:rPr>
                <w:sz w:val="14"/>
                <w:szCs w:val="14"/>
              </w:rPr>
              <w:t xml:space="preserve"> </w:t>
            </w:r>
            <w:r w:rsidRPr="00240238">
              <w:rPr>
                <w:sz w:val="14"/>
                <w:szCs w:val="14"/>
              </w:rPr>
              <w:t>miesięcy</w:t>
            </w:r>
            <w:r>
              <w:rPr>
                <w:sz w:val="14"/>
                <w:szCs w:val="14"/>
              </w:rPr>
              <w:t xml:space="preserve"> i więcej</w:t>
            </w:r>
          </w:p>
        </w:tc>
        <w:tc>
          <w:tcPr>
            <w:tcW w:w="1000" w:type="dxa"/>
          </w:tcPr>
          <w:p w14:paraId="055CA403" w14:textId="58D00A77" w:rsidR="00F14E31" w:rsidRDefault="00780D7B" w:rsidP="00003EA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20 - punktów</w:t>
            </w:r>
          </w:p>
        </w:tc>
        <w:tc>
          <w:tcPr>
            <w:tcW w:w="1000" w:type="dxa"/>
          </w:tcPr>
          <w:p w14:paraId="4E0CB492" w14:textId="77777777" w:rsidR="00F14E31" w:rsidRPr="00240238" w:rsidRDefault="00F14E31" w:rsidP="00003EAA">
            <w:pPr>
              <w:rPr>
                <w:sz w:val="14"/>
                <w:szCs w:val="14"/>
              </w:rPr>
            </w:pPr>
          </w:p>
        </w:tc>
      </w:tr>
      <w:tr w:rsidR="00384056" w:rsidRPr="00240238" w14:paraId="2E9A094C" w14:textId="1E87AFB0" w:rsidTr="00384056">
        <w:tc>
          <w:tcPr>
            <w:tcW w:w="6680" w:type="dxa"/>
            <w:shd w:val="clear" w:color="auto" w:fill="DAE9F7" w:themeFill="text2" w:themeFillTint="1A"/>
          </w:tcPr>
          <w:p w14:paraId="1B79E6DA" w14:textId="77777777" w:rsidR="00384056" w:rsidRPr="00240238" w:rsidRDefault="00384056" w:rsidP="00003EAA">
            <w:pPr>
              <w:pStyle w:val="Nagwek1"/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Równoważność w opisie przedmiotu zamówienia</w:t>
            </w:r>
          </w:p>
        </w:tc>
        <w:tc>
          <w:tcPr>
            <w:tcW w:w="1000" w:type="dxa"/>
            <w:shd w:val="clear" w:color="auto" w:fill="DAE9F7" w:themeFill="text2" w:themeFillTint="1A"/>
          </w:tcPr>
          <w:p w14:paraId="2E7B1102" w14:textId="77777777" w:rsidR="00384056" w:rsidRPr="00240238" w:rsidRDefault="00384056" w:rsidP="00003EAA">
            <w:pPr>
              <w:pStyle w:val="Nagwek1"/>
              <w:rPr>
                <w:sz w:val="14"/>
                <w:szCs w:val="14"/>
              </w:rPr>
            </w:pPr>
          </w:p>
        </w:tc>
        <w:tc>
          <w:tcPr>
            <w:tcW w:w="1000" w:type="dxa"/>
            <w:shd w:val="clear" w:color="auto" w:fill="DAE9F7" w:themeFill="text2" w:themeFillTint="1A"/>
          </w:tcPr>
          <w:p w14:paraId="566BA79C" w14:textId="77777777" w:rsidR="00384056" w:rsidRPr="00240238" w:rsidRDefault="00384056" w:rsidP="00003EAA">
            <w:pPr>
              <w:pStyle w:val="Nagwek1"/>
              <w:rPr>
                <w:sz w:val="14"/>
                <w:szCs w:val="14"/>
              </w:rPr>
            </w:pPr>
          </w:p>
        </w:tc>
      </w:tr>
      <w:tr w:rsidR="00384056" w:rsidRPr="00240238" w14:paraId="0DD05E28" w14:textId="766D4EFD" w:rsidTr="00384056">
        <w:tc>
          <w:tcPr>
            <w:tcW w:w="6680" w:type="dxa"/>
          </w:tcPr>
          <w:p w14:paraId="666362C0" w14:textId="77777777" w:rsidR="00384056" w:rsidRPr="00240238" w:rsidRDefault="00384056" w:rsidP="00003EAA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Jeżeli powyższe wymagania wskazują normy, standardy, certyfikaty, technologie lub rozwiązania o określonych cechach (np. ISO/IEC 27001, szafa 19" 42U, Internet 1 Gb/s symetryczny), Zamawiający dopuszcza rozwiązania równoważne, o ile Wykonawca wykaże równoważność poprzez wskazanie, że rozwiązanie spełnia wszystkie kryteria funkcjonalne i jakościowe określone w OPZ.</w:t>
            </w:r>
          </w:p>
        </w:tc>
        <w:tc>
          <w:tcPr>
            <w:tcW w:w="1000" w:type="dxa"/>
          </w:tcPr>
          <w:p w14:paraId="14FC2B05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5A7C2703" w14:textId="77777777" w:rsidR="00384056" w:rsidRPr="00240238" w:rsidRDefault="00384056" w:rsidP="00003EAA">
            <w:pPr>
              <w:rPr>
                <w:sz w:val="14"/>
                <w:szCs w:val="14"/>
              </w:rPr>
            </w:pPr>
          </w:p>
        </w:tc>
      </w:tr>
      <w:tr w:rsidR="00384056" w:rsidRPr="00240238" w14:paraId="2FA4BBA3" w14:textId="0FBB303E" w:rsidTr="00384056">
        <w:tc>
          <w:tcPr>
            <w:tcW w:w="6680" w:type="dxa"/>
            <w:shd w:val="clear" w:color="auto" w:fill="DAE9F7" w:themeFill="text2" w:themeFillTint="1A"/>
          </w:tcPr>
          <w:p w14:paraId="42B833B7" w14:textId="77777777" w:rsidR="00384056" w:rsidRPr="00240238" w:rsidRDefault="00384056" w:rsidP="008157B3">
            <w:pPr>
              <w:pStyle w:val="Nagwek1"/>
              <w:rPr>
                <w:sz w:val="14"/>
                <w:szCs w:val="14"/>
              </w:rPr>
            </w:pPr>
            <w:bookmarkStart w:id="12" w:name="x_wymagania_bezpieczeństwa_inform_ad74ac"/>
            <w:r w:rsidRPr="00240238">
              <w:rPr>
                <w:sz w:val="14"/>
                <w:szCs w:val="14"/>
              </w:rPr>
              <w:t xml:space="preserve">Wymagania bezpieczeństwa informacji i </w:t>
            </w:r>
            <w:bookmarkEnd w:id="12"/>
            <w:r w:rsidRPr="00240238">
              <w:rPr>
                <w:sz w:val="14"/>
                <w:szCs w:val="14"/>
              </w:rPr>
              <w:t>procedur</w:t>
            </w:r>
          </w:p>
        </w:tc>
        <w:tc>
          <w:tcPr>
            <w:tcW w:w="1000" w:type="dxa"/>
            <w:shd w:val="clear" w:color="auto" w:fill="DAE9F7" w:themeFill="text2" w:themeFillTint="1A"/>
          </w:tcPr>
          <w:p w14:paraId="50E0F944" w14:textId="77777777" w:rsidR="00384056" w:rsidRPr="00240238" w:rsidRDefault="00384056" w:rsidP="008157B3">
            <w:pPr>
              <w:pStyle w:val="Nagwek1"/>
              <w:rPr>
                <w:sz w:val="14"/>
                <w:szCs w:val="14"/>
              </w:rPr>
            </w:pPr>
          </w:p>
        </w:tc>
        <w:tc>
          <w:tcPr>
            <w:tcW w:w="1000" w:type="dxa"/>
            <w:shd w:val="clear" w:color="auto" w:fill="DAE9F7" w:themeFill="text2" w:themeFillTint="1A"/>
          </w:tcPr>
          <w:p w14:paraId="1B367CC3" w14:textId="77777777" w:rsidR="00384056" w:rsidRPr="00240238" w:rsidRDefault="00384056" w:rsidP="008157B3">
            <w:pPr>
              <w:pStyle w:val="Nagwek1"/>
              <w:rPr>
                <w:sz w:val="14"/>
                <w:szCs w:val="14"/>
              </w:rPr>
            </w:pPr>
          </w:p>
        </w:tc>
      </w:tr>
      <w:tr w:rsidR="00384056" w:rsidRPr="00240238" w14:paraId="0B13AE10" w14:textId="17E7198C" w:rsidTr="00384056">
        <w:tc>
          <w:tcPr>
            <w:tcW w:w="6680" w:type="dxa"/>
          </w:tcPr>
          <w:p w14:paraId="5DBF32FB" w14:textId="77777777" w:rsidR="00384056" w:rsidRPr="00240238" w:rsidRDefault="00384056" w:rsidP="008157B3">
            <w:pPr>
              <w:rPr>
                <w:b/>
                <w:bCs/>
                <w:sz w:val="14"/>
                <w:szCs w:val="14"/>
              </w:rPr>
            </w:pPr>
            <w:bookmarkStart w:id="13" w:name="bm_10_1_zarządzanie_dostępem"/>
            <w:r w:rsidRPr="00240238">
              <w:rPr>
                <w:b/>
                <w:bCs/>
                <w:sz w:val="14"/>
                <w:szCs w:val="14"/>
              </w:rPr>
              <w:t>Zarządzanie dostępem</w:t>
            </w:r>
            <w:bookmarkEnd w:id="13"/>
          </w:p>
        </w:tc>
        <w:tc>
          <w:tcPr>
            <w:tcW w:w="1000" w:type="dxa"/>
          </w:tcPr>
          <w:p w14:paraId="3CB1702C" w14:textId="77777777" w:rsidR="00384056" w:rsidRPr="00240238" w:rsidRDefault="00384056" w:rsidP="008157B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17CBD865" w14:textId="77777777" w:rsidR="00384056" w:rsidRPr="00240238" w:rsidRDefault="00384056" w:rsidP="008157B3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3B756190" w14:textId="24694543" w:rsidTr="00384056">
        <w:tc>
          <w:tcPr>
            <w:tcW w:w="6680" w:type="dxa"/>
          </w:tcPr>
          <w:p w14:paraId="0D095E5A" w14:textId="77777777" w:rsidR="00384056" w:rsidRPr="00240238" w:rsidRDefault="00384056" w:rsidP="008157B3">
            <w:pPr>
              <w:pStyle w:val="Akapitzlist"/>
              <w:numPr>
                <w:ilvl w:val="0"/>
                <w:numId w:val="15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Kontrola dostępu do obiektu i szafy (autentykacja: karta, kod PIN, biometria),</w:t>
            </w:r>
          </w:p>
        </w:tc>
        <w:tc>
          <w:tcPr>
            <w:tcW w:w="1000" w:type="dxa"/>
          </w:tcPr>
          <w:p w14:paraId="5D24EEF8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592DF99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463690CD" w14:textId="78AD7AD7" w:rsidTr="00384056">
        <w:tc>
          <w:tcPr>
            <w:tcW w:w="6680" w:type="dxa"/>
          </w:tcPr>
          <w:p w14:paraId="212C9400" w14:textId="77777777" w:rsidR="00384056" w:rsidRPr="00240238" w:rsidRDefault="00384056" w:rsidP="008157B3">
            <w:pPr>
              <w:pStyle w:val="Akapitzlist"/>
              <w:numPr>
                <w:ilvl w:val="0"/>
                <w:numId w:val="15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Rejestr wejść i wyjść z logowaniem czasowym,</w:t>
            </w:r>
          </w:p>
        </w:tc>
        <w:tc>
          <w:tcPr>
            <w:tcW w:w="1000" w:type="dxa"/>
          </w:tcPr>
          <w:p w14:paraId="7CC2DBCA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24E84C4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4BCB3CB5" w14:textId="5B17E207" w:rsidTr="00384056">
        <w:tc>
          <w:tcPr>
            <w:tcW w:w="6680" w:type="dxa"/>
          </w:tcPr>
          <w:p w14:paraId="365DE948" w14:textId="77777777" w:rsidR="00384056" w:rsidRPr="00240238" w:rsidRDefault="00384056" w:rsidP="008157B3">
            <w:pPr>
              <w:pStyle w:val="Akapitzlist"/>
              <w:numPr>
                <w:ilvl w:val="0"/>
                <w:numId w:val="15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Procedura zmiany uprawnień dostępu dla personelu Zamawiającego,</w:t>
            </w:r>
          </w:p>
        </w:tc>
        <w:tc>
          <w:tcPr>
            <w:tcW w:w="1000" w:type="dxa"/>
          </w:tcPr>
          <w:p w14:paraId="61B3B04A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E471117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397A4A05" w14:textId="4E1CAABB" w:rsidTr="00384056">
        <w:tc>
          <w:tcPr>
            <w:tcW w:w="6680" w:type="dxa"/>
          </w:tcPr>
          <w:p w14:paraId="4EE4C584" w14:textId="77777777" w:rsidR="00384056" w:rsidRPr="00240238" w:rsidRDefault="00384056" w:rsidP="008157B3">
            <w:pPr>
              <w:pStyle w:val="Akapitzlist"/>
              <w:numPr>
                <w:ilvl w:val="0"/>
                <w:numId w:val="15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Możliwość czasowego zawieszenia dostępu (np. w okresie nieużytkowania szafy).</w:t>
            </w:r>
          </w:p>
        </w:tc>
        <w:tc>
          <w:tcPr>
            <w:tcW w:w="1000" w:type="dxa"/>
          </w:tcPr>
          <w:p w14:paraId="795EDA53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CCEA7FE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13FF875E" w14:textId="2489154D" w:rsidTr="00384056">
        <w:tc>
          <w:tcPr>
            <w:tcW w:w="6680" w:type="dxa"/>
          </w:tcPr>
          <w:p w14:paraId="23767F54" w14:textId="77777777" w:rsidR="00384056" w:rsidRPr="00240238" w:rsidRDefault="00384056" w:rsidP="008157B3">
            <w:pPr>
              <w:rPr>
                <w:b/>
                <w:bCs/>
                <w:sz w:val="14"/>
                <w:szCs w:val="14"/>
              </w:rPr>
            </w:pPr>
            <w:bookmarkStart w:id="14" w:name="bm_10_2_zarządzanie_incydentami"/>
            <w:r w:rsidRPr="00240238">
              <w:rPr>
                <w:b/>
                <w:bCs/>
                <w:sz w:val="14"/>
                <w:szCs w:val="14"/>
              </w:rPr>
              <w:t>Zarządzanie incydentami</w:t>
            </w:r>
            <w:bookmarkEnd w:id="14"/>
          </w:p>
        </w:tc>
        <w:tc>
          <w:tcPr>
            <w:tcW w:w="1000" w:type="dxa"/>
          </w:tcPr>
          <w:p w14:paraId="31090339" w14:textId="77777777" w:rsidR="00384056" w:rsidRPr="00240238" w:rsidRDefault="00384056" w:rsidP="008157B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3A02DF0C" w14:textId="77777777" w:rsidR="00384056" w:rsidRPr="00240238" w:rsidRDefault="00384056" w:rsidP="008157B3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052C3FD2" w14:textId="0D30ED79" w:rsidTr="00384056">
        <w:tc>
          <w:tcPr>
            <w:tcW w:w="6680" w:type="dxa"/>
          </w:tcPr>
          <w:p w14:paraId="4CF8F06C" w14:textId="77777777" w:rsidR="00384056" w:rsidRPr="00240238" w:rsidRDefault="00384056" w:rsidP="008157B3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Wykonawca zobowiązany jest:</w:t>
            </w:r>
          </w:p>
        </w:tc>
        <w:tc>
          <w:tcPr>
            <w:tcW w:w="1000" w:type="dxa"/>
          </w:tcPr>
          <w:p w14:paraId="56B4CA2F" w14:textId="77777777" w:rsidR="00384056" w:rsidRPr="00240238" w:rsidRDefault="00384056" w:rsidP="008157B3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912EA8A" w14:textId="77777777" w:rsidR="00384056" w:rsidRPr="00240238" w:rsidRDefault="00384056" w:rsidP="008157B3">
            <w:pPr>
              <w:rPr>
                <w:sz w:val="14"/>
                <w:szCs w:val="14"/>
              </w:rPr>
            </w:pPr>
          </w:p>
        </w:tc>
      </w:tr>
      <w:tr w:rsidR="00384056" w:rsidRPr="00240238" w14:paraId="449E9DF4" w14:textId="7BCF5139" w:rsidTr="00384056">
        <w:tc>
          <w:tcPr>
            <w:tcW w:w="6680" w:type="dxa"/>
          </w:tcPr>
          <w:p w14:paraId="0D9913F0" w14:textId="77777777" w:rsidR="00384056" w:rsidRPr="00240238" w:rsidRDefault="00384056" w:rsidP="008157B3">
            <w:pPr>
              <w:pStyle w:val="Akapitzlist"/>
              <w:numPr>
                <w:ilvl w:val="0"/>
                <w:numId w:val="13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Prowadzić rejestr incydentów bezpieczeństwa i infrastruktury,</w:t>
            </w:r>
          </w:p>
        </w:tc>
        <w:tc>
          <w:tcPr>
            <w:tcW w:w="1000" w:type="dxa"/>
          </w:tcPr>
          <w:p w14:paraId="2F174B1D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5B6BE121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6CD1436B" w14:textId="3DA94767" w:rsidTr="00384056">
        <w:tc>
          <w:tcPr>
            <w:tcW w:w="6680" w:type="dxa"/>
          </w:tcPr>
          <w:p w14:paraId="141E6339" w14:textId="77777777" w:rsidR="00384056" w:rsidRPr="00240238" w:rsidRDefault="00384056" w:rsidP="008157B3">
            <w:pPr>
              <w:pStyle w:val="Akapitzlist"/>
              <w:numPr>
                <w:ilvl w:val="0"/>
                <w:numId w:val="13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Powiadamiać Zamawiającego o wszelkich incydentach dotyczących usługi w ciągu 2 godzin od wykrycia,</w:t>
            </w:r>
          </w:p>
        </w:tc>
        <w:tc>
          <w:tcPr>
            <w:tcW w:w="1000" w:type="dxa"/>
          </w:tcPr>
          <w:p w14:paraId="3AF6FF57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22502F3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2BAE9901" w14:textId="4943D20D" w:rsidTr="00384056">
        <w:tc>
          <w:tcPr>
            <w:tcW w:w="6680" w:type="dxa"/>
          </w:tcPr>
          <w:p w14:paraId="3314452D" w14:textId="77777777" w:rsidR="00384056" w:rsidRPr="00240238" w:rsidRDefault="00384056" w:rsidP="008157B3">
            <w:pPr>
              <w:rPr>
                <w:b/>
                <w:bCs/>
                <w:sz w:val="14"/>
                <w:szCs w:val="14"/>
              </w:rPr>
            </w:pPr>
            <w:bookmarkStart w:id="15" w:name="bm_10_3_zgodność_z_regulacjami"/>
            <w:r w:rsidRPr="00240238">
              <w:rPr>
                <w:b/>
                <w:bCs/>
                <w:sz w:val="14"/>
                <w:szCs w:val="14"/>
              </w:rPr>
              <w:t>Zgodność z regulacjami</w:t>
            </w:r>
            <w:bookmarkEnd w:id="15"/>
          </w:p>
        </w:tc>
        <w:tc>
          <w:tcPr>
            <w:tcW w:w="1000" w:type="dxa"/>
          </w:tcPr>
          <w:p w14:paraId="11B827D0" w14:textId="77777777" w:rsidR="00384056" w:rsidRPr="00240238" w:rsidRDefault="00384056" w:rsidP="008157B3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49DE1BCE" w14:textId="77777777" w:rsidR="00384056" w:rsidRPr="00240238" w:rsidRDefault="00384056" w:rsidP="008157B3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34467B2E" w14:textId="08B21A9C" w:rsidTr="00384056">
        <w:tc>
          <w:tcPr>
            <w:tcW w:w="6680" w:type="dxa"/>
          </w:tcPr>
          <w:p w14:paraId="6430840B" w14:textId="77777777" w:rsidR="00384056" w:rsidRPr="00240238" w:rsidRDefault="00384056" w:rsidP="008157B3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Wykonawca zobowiązany jest do stosowania się do:</w:t>
            </w:r>
          </w:p>
        </w:tc>
        <w:tc>
          <w:tcPr>
            <w:tcW w:w="1000" w:type="dxa"/>
          </w:tcPr>
          <w:p w14:paraId="25319A39" w14:textId="77777777" w:rsidR="00384056" w:rsidRPr="00240238" w:rsidRDefault="00384056" w:rsidP="008157B3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3B38E17" w14:textId="77777777" w:rsidR="00384056" w:rsidRPr="00240238" w:rsidRDefault="00384056" w:rsidP="008157B3">
            <w:pPr>
              <w:rPr>
                <w:sz w:val="14"/>
                <w:szCs w:val="14"/>
              </w:rPr>
            </w:pPr>
          </w:p>
        </w:tc>
      </w:tr>
      <w:tr w:rsidR="00384056" w:rsidRPr="00240238" w14:paraId="3649072F" w14:textId="5067BFD6" w:rsidTr="00384056">
        <w:tc>
          <w:tcPr>
            <w:tcW w:w="6680" w:type="dxa"/>
          </w:tcPr>
          <w:p w14:paraId="0EF05DBE" w14:textId="77777777" w:rsidR="00384056" w:rsidRPr="00240238" w:rsidRDefault="00384056" w:rsidP="008157B3">
            <w:pPr>
              <w:pStyle w:val="Akapitzlist"/>
              <w:numPr>
                <w:ilvl w:val="0"/>
                <w:numId w:val="1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Polskiego prawa (w tym RODO, Ustawy o ochronie konkurencji, Ustawy o podatku handlowym),</w:t>
            </w:r>
          </w:p>
        </w:tc>
        <w:tc>
          <w:tcPr>
            <w:tcW w:w="1000" w:type="dxa"/>
          </w:tcPr>
          <w:p w14:paraId="119FA4DA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7374AFC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25C66C92" w14:textId="422622C7" w:rsidTr="00384056">
        <w:tc>
          <w:tcPr>
            <w:tcW w:w="6680" w:type="dxa"/>
          </w:tcPr>
          <w:p w14:paraId="2AA562A7" w14:textId="77777777" w:rsidR="00384056" w:rsidRPr="00240238" w:rsidRDefault="00384056" w:rsidP="008157B3">
            <w:pPr>
              <w:pStyle w:val="Akapitzlist"/>
              <w:numPr>
                <w:ilvl w:val="0"/>
                <w:numId w:val="1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Międzynarodowych standardów bezpieczeństwa (ISO/IEC 27001 lub równoważnych procedur),</w:t>
            </w:r>
          </w:p>
        </w:tc>
        <w:tc>
          <w:tcPr>
            <w:tcW w:w="1000" w:type="dxa"/>
          </w:tcPr>
          <w:p w14:paraId="638955CA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4C1107A1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58F1C748" w14:textId="07492E53" w:rsidTr="00384056">
        <w:tc>
          <w:tcPr>
            <w:tcW w:w="6680" w:type="dxa"/>
          </w:tcPr>
          <w:p w14:paraId="483FF6F4" w14:textId="77777777" w:rsidR="00384056" w:rsidRPr="00240238" w:rsidRDefault="00384056" w:rsidP="008157B3">
            <w:pPr>
              <w:pStyle w:val="Akapitzlist"/>
              <w:numPr>
                <w:ilvl w:val="0"/>
                <w:numId w:val="14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lastRenderedPageBreak/>
              <w:t>Procedur bezpieczeństwa wymaganego przez branżę (jeśli dotyczy).</w:t>
            </w:r>
          </w:p>
        </w:tc>
        <w:tc>
          <w:tcPr>
            <w:tcW w:w="1000" w:type="dxa"/>
          </w:tcPr>
          <w:p w14:paraId="3904CE72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D82D1D7" w14:textId="77777777" w:rsidR="00384056" w:rsidRPr="0033165F" w:rsidRDefault="00384056" w:rsidP="0033165F">
            <w:pPr>
              <w:rPr>
                <w:sz w:val="14"/>
                <w:szCs w:val="14"/>
              </w:rPr>
            </w:pPr>
          </w:p>
        </w:tc>
      </w:tr>
      <w:tr w:rsidR="00384056" w:rsidRPr="00240238" w14:paraId="70350236" w14:textId="3873AEA8" w:rsidTr="00384056">
        <w:tc>
          <w:tcPr>
            <w:tcW w:w="6680" w:type="dxa"/>
            <w:shd w:val="clear" w:color="auto" w:fill="DAE9F7" w:themeFill="text2" w:themeFillTint="1A"/>
          </w:tcPr>
          <w:p w14:paraId="44223AC2" w14:textId="77777777" w:rsidR="00384056" w:rsidRPr="00240238" w:rsidRDefault="00384056" w:rsidP="00384056">
            <w:pPr>
              <w:pStyle w:val="Nagwek1"/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Warunki specjalne i uwagi</w:t>
            </w:r>
          </w:p>
        </w:tc>
        <w:tc>
          <w:tcPr>
            <w:tcW w:w="1000" w:type="dxa"/>
            <w:shd w:val="clear" w:color="auto" w:fill="DAE9F7" w:themeFill="text2" w:themeFillTint="1A"/>
          </w:tcPr>
          <w:p w14:paraId="64A9C5D1" w14:textId="77777777" w:rsidR="00384056" w:rsidRPr="00240238" w:rsidRDefault="00384056" w:rsidP="00384056">
            <w:pPr>
              <w:pStyle w:val="Nagwek1"/>
              <w:rPr>
                <w:sz w:val="14"/>
                <w:szCs w:val="14"/>
              </w:rPr>
            </w:pPr>
          </w:p>
        </w:tc>
        <w:tc>
          <w:tcPr>
            <w:tcW w:w="1000" w:type="dxa"/>
            <w:shd w:val="clear" w:color="auto" w:fill="DAE9F7" w:themeFill="text2" w:themeFillTint="1A"/>
          </w:tcPr>
          <w:p w14:paraId="490043C3" w14:textId="77777777" w:rsidR="00384056" w:rsidRPr="00240238" w:rsidRDefault="00384056" w:rsidP="00384056">
            <w:pPr>
              <w:pStyle w:val="Nagwek1"/>
              <w:rPr>
                <w:sz w:val="14"/>
                <w:szCs w:val="14"/>
              </w:rPr>
            </w:pPr>
          </w:p>
        </w:tc>
      </w:tr>
      <w:tr w:rsidR="00384056" w:rsidRPr="00240238" w14:paraId="48EE89F0" w14:textId="41F6769C" w:rsidTr="00384056">
        <w:tc>
          <w:tcPr>
            <w:tcW w:w="6680" w:type="dxa"/>
          </w:tcPr>
          <w:p w14:paraId="3CA2B460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  <w:bookmarkStart w:id="16" w:name="bm_11_1_dostęp_dla_autoryzowanych_osób"/>
            <w:r w:rsidRPr="00240238">
              <w:rPr>
                <w:b/>
                <w:bCs/>
                <w:sz w:val="14"/>
                <w:szCs w:val="14"/>
              </w:rPr>
              <w:t>Dostęp dla autoryzowanych osób</w:t>
            </w:r>
            <w:bookmarkEnd w:id="16"/>
          </w:p>
        </w:tc>
        <w:tc>
          <w:tcPr>
            <w:tcW w:w="1000" w:type="dxa"/>
          </w:tcPr>
          <w:p w14:paraId="2BAEF18D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27311FB5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4DC318CC" w14:textId="09E021A1" w:rsidTr="00384056">
        <w:tc>
          <w:tcPr>
            <w:tcW w:w="6680" w:type="dxa"/>
          </w:tcPr>
          <w:p w14:paraId="022E8579" w14:textId="77777777" w:rsidR="00384056" w:rsidRPr="00240238" w:rsidRDefault="00384056" w:rsidP="00384056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Zamawiający ma prawo do wyznaczenia kilku osób upoważnionych do wejścia do obiektu i do szafy. Procedura upoważniania musi być szybka i bezpłatna, bez konieczności osobistej autoryzacji ze strony Wykonawcy.</w:t>
            </w:r>
          </w:p>
        </w:tc>
        <w:tc>
          <w:tcPr>
            <w:tcW w:w="1000" w:type="dxa"/>
          </w:tcPr>
          <w:p w14:paraId="2596E2C5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676CA11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</w:tr>
      <w:tr w:rsidR="00384056" w:rsidRPr="00240238" w14:paraId="692F7BED" w14:textId="19EE3584" w:rsidTr="00384056">
        <w:tc>
          <w:tcPr>
            <w:tcW w:w="6680" w:type="dxa"/>
          </w:tcPr>
          <w:p w14:paraId="509B1989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  <w:bookmarkStart w:id="17" w:name="bm_11_2_prawo_do_fotografowania_i_ec6a20"/>
            <w:r w:rsidRPr="00240238">
              <w:rPr>
                <w:b/>
                <w:bCs/>
                <w:sz w:val="14"/>
                <w:szCs w:val="14"/>
              </w:rPr>
              <w:t>Prawo do fotografowania i dokumentacji</w:t>
            </w:r>
            <w:bookmarkEnd w:id="17"/>
          </w:p>
        </w:tc>
        <w:tc>
          <w:tcPr>
            <w:tcW w:w="1000" w:type="dxa"/>
          </w:tcPr>
          <w:p w14:paraId="42C5A523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6287B72F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16953799" w14:textId="5DD5EB8E" w:rsidTr="00384056">
        <w:tc>
          <w:tcPr>
            <w:tcW w:w="6680" w:type="dxa"/>
          </w:tcPr>
          <w:p w14:paraId="5DB22729" w14:textId="77777777" w:rsidR="00384056" w:rsidRPr="00240238" w:rsidRDefault="00384056" w:rsidP="00384056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Zamawiający może fotografować i dokumentować stanu szafy i infrastruktury (dla celów audytowych/dokumentacji wewnętrznej); Wykonawca nie ma prawa do ograniczania tego prawa poza przypadkami zagrażającymi bezpieczeństwu obiektu.</w:t>
            </w:r>
          </w:p>
        </w:tc>
        <w:tc>
          <w:tcPr>
            <w:tcW w:w="1000" w:type="dxa"/>
          </w:tcPr>
          <w:p w14:paraId="73F1A116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72BA82D2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</w:tr>
      <w:tr w:rsidR="00384056" w:rsidRPr="00240238" w14:paraId="30E8A342" w14:textId="278DAC09" w:rsidTr="00384056">
        <w:tc>
          <w:tcPr>
            <w:tcW w:w="6680" w:type="dxa"/>
          </w:tcPr>
          <w:p w14:paraId="7582AB0A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  <w:bookmarkStart w:id="18" w:name="bm_11_3_prawo_do_migracji_usług"/>
            <w:r w:rsidRPr="00240238">
              <w:rPr>
                <w:b/>
                <w:bCs/>
                <w:sz w:val="14"/>
                <w:szCs w:val="14"/>
              </w:rPr>
              <w:t>Prawo do migracji usług</w:t>
            </w:r>
            <w:bookmarkEnd w:id="18"/>
          </w:p>
        </w:tc>
        <w:tc>
          <w:tcPr>
            <w:tcW w:w="1000" w:type="dxa"/>
          </w:tcPr>
          <w:p w14:paraId="432ED5A4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010DA226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13A76831" w14:textId="75C15F91" w:rsidTr="00384056">
        <w:tc>
          <w:tcPr>
            <w:tcW w:w="6680" w:type="dxa"/>
          </w:tcPr>
          <w:p w14:paraId="67CBE1EE" w14:textId="77777777" w:rsidR="00384056" w:rsidRPr="00240238" w:rsidRDefault="00384056" w:rsidP="00384056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W przypadku rozwiązania umowy Zamawiający ma prawo do co najmniej 60 dni na demontaż i przeniesienie swoich urządzeń z szafy (bez dodatkowych opłat za utrzymanie szafy w tym okresie).</w:t>
            </w:r>
          </w:p>
        </w:tc>
        <w:tc>
          <w:tcPr>
            <w:tcW w:w="1000" w:type="dxa"/>
          </w:tcPr>
          <w:p w14:paraId="2FD913EA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67C22E8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</w:tr>
      <w:tr w:rsidR="00384056" w:rsidRPr="00240238" w14:paraId="09905897" w14:textId="2E5AD9E4" w:rsidTr="00384056">
        <w:tc>
          <w:tcPr>
            <w:tcW w:w="6680" w:type="dxa"/>
          </w:tcPr>
          <w:p w14:paraId="1854D587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  <w:bookmarkStart w:id="19" w:name="bm_11_4_prawo_do_audytów"/>
            <w:r w:rsidRPr="00240238">
              <w:rPr>
                <w:b/>
                <w:bCs/>
                <w:sz w:val="14"/>
                <w:szCs w:val="14"/>
              </w:rPr>
              <w:t>Prawo do audytów</w:t>
            </w:r>
            <w:bookmarkEnd w:id="19"/>
          </w:p>
        </w:tc>
        <w:tc>
          <w:tcPr>
            <w:tcW w:w="1000" w:type="dxa"/>
          </w:tcPr>
          <w:p w14:paraId="6C07CFC9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6E65CDC0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6F5B3A11" w14:textId="6FC62391" w:rsidTr="00384056">
        <w:tc>
          <w:tcPr>
            <w:tcW w:w="6680" w:type="dxa"/>
          </w:tcPr>
          <w:p w14:paraId="01A34358" w14:textId="77777777" w:rsidR="00384056" w:rsidRPr="00240238" w:rsidRDefault="00384056" w:rsidP="00384056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Zamawiający zastrzega sobie prawo do przeprowadzenia audytów bezpieczeństwa i infrastruktury obiektu (w uzasadnionym terminie, z co najmniej 2-tygodniową awizacją) w celu weryfikacji zgodności z umową.</w:t>
            </w:r>
          </w:p>
        </w:tc>
        <w:tc>
          <w:tcPr>
            <w:tcW w:w="1000" w:type="dxa"/>
          </w:tcPr>
          <w:p w14:paraId="3990BFDD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1F4F76AD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</w:tr>
      <w:tr w:rsidR="00384056" w:rsidRPr="00240238" w14:paraId="4C49948B" w14:textId="2D7FB3DD" w:rsidTr="00384056">
        <w:tc>
          <w:tcPr>
            <w:tcW w:w="6680" w:type="dxa"/>
          </w:tcPr>
          <w:p w14:paraId="19CF99BD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  <w:bookmarkStart w:id="20" w:name="bm_11_5_zamówienia_dodatkowe"/>
            <w:r w:rsidRPr="00240238">
              <w:rPr>
                <w:b/>
                <w:bCs/>
                <w:sz w:val="14"/>
                <w:szCs w:val="14"/>
              </w:rPr>
              <w:t>Zamówienia dodatkowe</w:t>
            </w:r>
            <w:bookmarkEnd w:id="20"/>
          </w:p>
        </w:tc>
        <w:tc>
          <w:tcPr>
            <w:tcW w:w="1000" w:type="dxa"/>
          </w:tcPr>
          <w:p w14:paraId="7B5B5FB8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00" w:type="dxa"/>
          </w:tcPr>
          <w:p w14:paraId="1723F649" w14:textId="77777777" w:rsidR="00384056" w:rsidRPr="00240238" w:rsidRDefault="00384056" w:rsidP="00384056">
            <w:pPr>
              <w:rPr>
                <w:b/>
                <w:bCs/>
                <w:sz w:val="14"/>
                <w:szCs w:val="14"/>
              </w:rPr>
            </w:pPr>
          </w:p>
        </w:tc>
      </w:tr>
      <w:tr w:rsidR="00384056" w:rsidRPr="00240238" w14:paraId="1910CBFB" w14:textId="2B653F4D" w:rsidTr="00384056">
        <w:tc>
          <w:tcPr>
            <w:tcW w:w="6680" w:type="dxa"/>
          </w:tcPr>
          <w:p w14:paraId="3DD46AC5" w14:textId="77777777" w:rsidR="00384056" w:rsidRPr="00240238" w:rsidRDefault="00384056" w:rsidP="00384056">
            <w:p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Zamawiający wymaga informacji o możliwości:</w:t>
            </w:r>
          </w:p>
        </w:tc>
        <w:tc>
          <w:tcPr>
            <w:tcW w:w="1000" w:type="dxa"/>
          </w:tcPr>
          <w:p w14:paraId="47BFDBE6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663A3248" w14:textId="77777777" w:rsidR="00384056" w:rsidRPr="00240238" w:rsidRDefault="00384056" w:rsidP="00384056">
            <w:pPr>
              <w:rPr>
                <w:sz w:val="14"/>
                <w:szCs w:val="14"/>
              </w:rPr>
            </w:pPr>
          </w:p>
        </w:tc>
      </w:tr>
      <w:tr w:rsidR="00384056" w:rsidRPr="00240238" w14:paraId="7C6D02CC" w14:textId="7265461A" w:rsidTr="00384056">
        <w:tc>
          <w:tcPr>
            <w:tcW w:w="6680" w:type="dxa"/>
          </w:tcPr>
          <w:p w14:paraId="346E0971" w14:textId="77777777" w:rsidR="00384056" w:rsidRPr="00240238" w:rsidRDefault="00384056" w:rsidP="00384056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Kolokacji dodatkowych szaf/serwerów w tym samym obiekcie (ceny, dostępność),</w:t>
            </w:r>
          </w:p>
        </w:tc>
        <w:tc>
          <w:tcPr>
            <w:tcW w:w="1000" w:type="dxa"/>
          </w:tcPr>
          <w:p w14:paraId="6DA9A799" w14:textId="77777777" w:rsidR="00384056" w:rsidRPr="0033165F" w:rsidRDefault="00384056" w:rsidP="00384056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323F4B8E" w14:textId="77777777" w:rsidR="00384056" w:rsidRPr="0033165F" w:rsidRDefault="00384056" w:rsidP="00384056">
            <w:pPr>
              <w:rPr>
                <w:sz w:val="14"/>
                <w:szCs w:val="14"/>
              </w:rPr>
            </w:pPr>
          </w:p>
        </w:tc>
      </w:tr>
      <w:tr w:rsidR="00384056" w:rsidRPr="00240238" w14:paraId="1B1C9139" w14:textId="0EAA21D6" w:rsidTr="00384056">
        <w:tc>
          <w:tcPr>
            <w:tcW w:w="6680" w:type="dxa"/>
          </w:tcPr>
          <w:p w14:paraId="7D1148A3" w14:textId="77777777" w:rsidR="00384056" w:rsidRPr="00240238" w:rsidRDefault="00384056" w:rsidP="00384056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Kolokacji w drugim ośrodku (ceny, dostępność, czas wdrożenia),</w:t>
            </w:r>
          </w:p>
        </w:tc>
        <w:tc>
          <w:tcPr>
            <w:tcW w:w="1000" w:type="dxa"/>
          </w:tcPr>
          <w:p w14:paraId="0EC3EBD1" w14:textId="77777777" w:rsidR="00384056" w:rsidRPr="0033165F" w:rsidRDefault="00384056" w:rsidP="00384056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FE0D793" w14:textId="77777777" w:rsidR="00384056" w:rsidRPr="0033165F" w:rsidRDefault="00384056" w:rsidP="00384056">
            <w:pPr>
              <w:rPr>
                <w:sz w:val="14"/>
                <w:szCs w:val="14"/>
              </w:rPr>
            </w:pPr>
          </w:p>
        </w:tc>
      </w:tr>
      <w:tr w:rsidR="00384056" w:rsidRPr="00240238" w14:paraId="2C0692E1" w14:textId="3D6A107C" w:rsidTr="00384056">
        <w:tc>
          <w:tcPr>
            <w:tcW w:w="6680" w:type="dxa"/>
          </w:tcPr>
          <w:p w14:paraId="31FC02DC" w14:textId="77777777" w:rsidR="00384056" w:rsidRPr="00240238" w:rsidRDefault="00384056" w:rsidP="00384056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240238">
              <w:rPr>
                <w:sz w:val="14"/>
                <w:szCs w:val="14"/>
              </w:rPr>
              <w:t>Usług łączności między ośrodkami (cross-connect, dedykowana transmisja).</w:t>
            </w:r>
          </w:p>
        </w:tc>
        <w:tc>
          <w:tcPr>
            <w:tcW w:w="1000" w:type="dxa"/>
          </w:tcPr>
          <w:p w14:paraId="1ACE2E7B" w14:textId="77777777" w:rsidR="00384056" w:rsidRPr="0033165F" w:rsidRDefault="00384056" w:rsidP="00384056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</w:tcPr>
          <w:p w14:paraId="29072A95" w14:textId="77777777" w:rsidR="00384056" w:rsidRPr="0033165F" w:rsidRDefault="00384056" w:rsidP="00384056">
            <w:pPr>
              <w:rPr>
                <w:sz w:val="14"/>
                <w:szCs w:val="14"/>
              </w:rPr>
            </w:pPr>
          </w:p>
        </w:tc>
      </w:tr>
    </w:tbl>
    <w:p w14:paraId="1F8023A6" w14:textId="66DBC825" w:rsidR="00B30046" w:rsidRPr="00E07448" w:rsidRDefault="00B30046" w:rsidP="006411BC"/>
    <w:sectPr w:rsidR="00B30046" w:rsidRPr="00E07448" w:rsidSect="00B30046">
      <w:pgSz w:w="12240" w:h="15840"/>
      <w:pgMar w:top="1415" w:right="1775" w:bottom="1415" w:left="1775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1252A8"/>
    <w:multiLevelType w:val="hybridMultilevel"/>
    <w:tmpl w:val="8C483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BA8"/>
    <w:multiLevelType w:val="hybridMultilevel"/>
    <w:tmpl w:val="95208A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945BF0"/>
    <w:multiLevelType w:val="hybridMultilevel"/>
    <w:tmpl w:val="99E8E1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992D3E"/>
    <w:multiLevelType w:val="hybridMultilevel"/>
    <w:tmpl w:val="9B3A9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C43E81"/>
    <w:multiLevelType w:val="hybridMultilevel"/>
    <w:tmpl w:val="44665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7682D"/>
    <w:multiLevelType w:val="hybridMultilevel"/>
    <w:tmpl w:val="9ADA1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6366D5"/>
    <w:multiLevelType w:val="hybridMultilevel"/>
    <w:tmpl w:val="A4469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AF335F"/>
    <w:multiLevelType w:val="hybridMultilevel"/>
    <w:tmpl w:val="E77E69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3FC"/>
    <w:multiLevelType w:val="hybridMultilevel"/>
    <w:tmpl w:val="EEE42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850789"/>
    <w:multiLevelType w:val="hybridMultilevel"/>
    <w:tmpl w:val="A47804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7547F5"/>
    <w:multiLevelType w:val="hybridMultilevel"/>
    <w:tmpl w:val="90023F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BB69EC"/>
    <w:multiLevelType w:val="hybridMultilevel"/>
    <w:tmpl w:val="82C2F4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1F1663"/>
    <w:multiLevelType w:val="hybridMultilevel"/>
    <w:tmpl w:val="15F47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1F62FA"/>
    <w:multiLevelType w:val="hybridMultilevel"/>
    <w:tmpl w:val="C464A1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F62535"/>
    <w:multiLevelType w:val="hybridMultilevel"/>
    <w:tmpl w:val="1A465D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547025">
    <w:abstractNumId w:val="6"/>
  </w:num>
  <w:num w:numId="2" w16cid:durableId="1243836670">
    <w:abstractNumId w:val="14"/>
  </w:num>
  <w:num w:numId="3" w16cid:durableId="715472203">
    <w:abstractNumId w:val="4"/>
  </w:num>
  <w:num w:numId="4" w16cid:durableId="920913906">
    <w:abstractNumId w:val="12"/>
  </w:num>
  <w:num w:numId="5" w16cid:durableId="805926980">
    <w:abstractNumId w:val="1"/>
  </w:num>
  <w:num w:numId="6" w16cid:durableId="1102652499">
    <w:abstractNumId w:val="9"/>
  </w:num>
  <w:num w:numId="7" w16cid:durableId="1417752044">
    <w:abstractNumId w:val="0"/>
  </w:num>
  <w:num w:numId="8" w16cid:durableId="190189489">
    <w:abstractNumId w:val="5"/>
  </w:num>
  <w:num w:numId="9" w16cid:durableId="2135710457">
    <w:abstractNumId w:val="10"/>
  </w:num>
  <w:num w:numId="10" w16cid:durableId="1749764648">
    <w:abstractNumId w:val="3"/>
  </w:num>
  <w:num w:numId="11" w16cid:durableId="285963907">
    <w:abstractNumId w:val="7"/>
  </w:num>
  <w:num w:numId="12" w16cid:durableId="970789540">
    <w:abstractNumId w:val="8"/>
  </w:num>
  <w:num w:numId="13" w16cid:durableId="127751079">
    <w:abstractNumId w:val="13"/>
  </w:num>
  <w:num w:numId="14" w16cid:durableId="2125270592">
    <w:abstractNumId w:val="11"/>
  </w:num>
  <w:num w:numId="15" w16cid:durableId="10985988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046"/>
    <w:rsid w:val="00070F8F"/>
    <w:rsid w:val="000D5F68"/>
    <w:rsid w:val="000E6671"/>
    <w:rsid w:val="00136E86"/>
    <w:rsid w:val="001F3000"/>
    <w:rsid w:val="00240238"/>
    <w:rsid w:val="0024294E"/>
    <w:rsid w:val="002C248C"/>
    <w:rsid w:val="003257FA"/>
    <w:rsid w:val="0033165F"/>
    <w:rsid w:val="00384056"/>
    <w:rsid w:val="003F204B"/>
    <w:rsid w:val="005A48B1"/>
    <w:rsid w:val="006411BC"/>
    <w:rsid w:val="006634DF"/>
    <w:rsid w:val="006A615E"/>
    <w:rsid w:val="006B4577"/>
    <w:rsid w:val="00762BDC"/>
    <w:rsid w:val="00780D7B"/>
    <w:rsid w:val="007F6B0E"/>
    <w:rsid w:val="008D49DB"/>
    <w:rsid w:val="009607B0"/>
    <w:rsid w:val="00986108"/>
    <w:rsid w:val="009866DA"/>
    <w:rsid w:val="00A356D3"/>
    <w:rsid w:val="00A56DC7"/>
    <w:rsid w:val="00A943C4"/>
    <w:rsid w:val="00AF21FC"/>
    <w:rsid w:val="00B21D23"/>
    <w:rsid w:val="00B30046"/>
    <w:rsid w:val="00BA28A1"/>
    <w:rsid w:val="00BF7C99"/>
    <w:rsid w:val="00C03F34"/>
    <w:rsid w:val="00C37F84"/>
    <w:rsid w:val="00CC065A"/>
    <w:rsid w:val="00CD5D7F"/>
    <w:rsid w:val="00D44077"/>
    <w:rsid w:val="00EA5F2F"/>
    <w:rsid w:val="00F14E31"/>
    <w:rsid w:val="00F22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8CD0D"/>
  <w15:chartTrackingRefBased/>
  <w15:docId w15:val="{92571BB2-23DE-4A75-8DDA-DDB3B14D9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0046"/>
    <w:pPr>
      <w:spacing w:after="120" w:line="240" w:lineRule="atLeast"/>
      <w:jc w:val="both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300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300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00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00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00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00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00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00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00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00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300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00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004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004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00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00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00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00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00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00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00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00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00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00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00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004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00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004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0046"/>
    <w:rPr>
      <w:b/>
      <w:bCs/>
      <w:smallCaps/>
      <w:color w:val="0F4761" w:themeColor="accent1" w:themeShade="BF"/>
      <w:spacing w:val="5"/>
    </w:rPr>
  </w:style>
  <w:style w:type="table" w:customStyle="1" w:styleId="NormalGrid">
    <w:name w:val="Normal Grid"/>
    <w:basedOn w:val="Standardowy"/>
    <w:uiPriority w:val="39"/>
    <w:rsid w:val="00B30046"/>
    <w:pPr>
      <w:spacing w:after="0" w:line="240" w:lineRule="auto"/>
    </w:pPr>
    <w:rPr>
      <w:rFonts w:ascii="Georgia"/>
      <w:kern w:val="0"/>
      <w:sz w:val="21"/>
      <w:szCs w:val="22"/>
      <w14:ligatures w14:val="none"/>
    </w:rPr>
    <w:tblPr>
      <w:tblCellMar>
        <w:top w:w="80" w:type="dxa"/>
        <w:left w:w="160" w:type="dxa"/>
        <w:bottom w:w="80" w:type="dxa"/>
        <w:right w:w="160" w:type="dxa"/>
      </w:tblCellMar>
    </w:tblPr>
  </w:style>
  <w:style w:type="character" w:styleId="Hipercze">
    <w:name w:val="Hyperlink"/>
    <w:basedOn w:val="Domylnaczcionkaakapitu"/>
    <w:uiPriority w:val="99"/>
    <w:unhideWhenUsed/>
    <w:rsid w:val="00B30046"/>
    <w:rPr>
      <w:color w:val="467886" w:themeColor="hyperlink"/>
      <w:u w:val="single"/>
    </w:rPr>
  </w:style>
  <w:style w:type="table" w:styleId="Tabela-Siatka">
    <w:name w:val="Table Grid"/>
    <w:basedOn w:val="Standardowy"/>
    <w:uiPriority w:val="39"/>
    <w:rsid w:val="009866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35DCF1-A889-4AF1-9FBA-FE36C517A5F1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2.xml><?xml version="1.0" encoding="utf-8"?>
<ds:datastoreItem xmlns:ds="http://schemas.openxmlformats.org/officeDocument/2006/customXml" ds:itemID="{646B184C-B1A7-48DA-A5E2-A5DDD60BBB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78E359-5D8E-4746-892D-332C598CA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63749A-591C-46F1-8182-2B1B90599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1557</Words>
  <Characters>9347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30</cp:revision>
  <dcterms:created xsi:type="dcterms:W3CDTF">2026-01-12T21:21:00Z</dcterms:created>
  <dcterms:modified xsi:type="dcterms:W3CDTF">2026-01-22T14:24:00Z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